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部门整体支出绩效自评报告</w:t>
      </w: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部门名称</w:t>
      </w:r>
      <w:r>
        <w:rPr>
          <w:rFonts w:hint="eastAsia" w:ascii="仿宋_GB2312" w:hAnsi="仿宋_GB2312" w:eastAsia="仿宋_GB2312" w:cs="仿宋_GB2312"/>
          <w:sz w:val="32"/>
          <w:szCs w:val="32"/>
          <w:lang w:val="en-US" w:eastAsia="zh-CN"/>
        </w:rPr>
        <w:t>：嘉应学院医学院附属医院</w:t>
      </w:r>
    </w:p>
    <w:p>
      <w:pPr>
        <w:ind w:firstLine="1606"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填报人</w:t>
      </w:r>
      <w:r>
        <w:rPr>
          <w:rFonts w:hint="eastAsia" w:ascii="仿宋_GB2312" w:hAnsi="仿宋_GB2312" w:eastAsia="仿宋_GB2312" w:cs="仿宋_GB2312"/>
          <w:sz w:val="32"/>
          <w:szCs w:val="32"/>
          <w:lang w:val="en-US" w:eastAsia="zh-CN"/>
        </w:rPr>
        <w:t>：邓仁</w:t>
      </w:r>
    </w:p>
    <w:p>
      <w:pPr>
        <w:ind w:firstLine="1606"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：0753--2133212</w:t>
      </w:r>
    </w:p>
    <w:p>
      <w:pPr>
        <w:ind w:firstLine="1606"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填报日期</w:t>
      </w:r>
      <w:r>
        <w:rPr>
          <w:rFonts w:hint="eastAsia" w:ascii="仿宋_GB2312" w:hAnsi="仿宋_GB2312" w:eastAsia="仿宋_GB2312" w:cs="仿宋_GB2312"/>
          <w:sz w:val="32"/>
          <w:szCs w:val="32"/>
          <w:lang w:val="en-US" w:eastAsia="zh-CN"/>
        </w:rPr>
        <w:t>：2020年12月28日</w:t>
      </w:r>
    </w:p>
    <w:p>
      <w:pPr>
        <w:ind w:firstLine="1600" w:firstLineChars="500"/>
        <w:jc w:val="both"/>
        <w:rPr>
          <w:rFonts w:hint="eastAsia" w:ascii="仿宋_GB2312" w:hAnsi="仿宋_GB2312" w:eastAsia="仿宋_GB2312" w:cs="仿宋_GB2312"/>
          <w:sz w:val="32"/>
          <w:szCs w:val="32"/>
          <w:lang w:val="en-US" w:eastAsia="zh-CN"/>
        </w:rPr>
      </w:pPr>
    </w:p>
    <w:p>
      <w:pPr>
        <w:ind w:firstLine="1600" w:firstLineChars="500"/>
        <w:jc w:val="both"/>
        <w:rPr>
          <w:rFonts w:hint="eastAsia" w:ascii="仿宋_GB2312" w:hAnsi="仿宋_GB2312" w:eastAsia="仿宋_GB2312" w:cs="仿宋_GB2312"/>
          <w:sz w:val="32"/>
          <w:szCs w:val="32"/>
          <w:lang w:val="en-US" w:eastAsia="zh-CN"/>
        </w:rPr>
      </w:pPr>
    </w:p>
    <w:p>
      <w:pPr>
        <w:ind w:firstLine="1600" w:firstLineChars="500"/>
        <w:jc w:val="both"/>
        <w:rPr>
          <w:rFonts w:hint="eastAsia" w:ascii="仿宋_GB2312" w:hAnsi="仿宋_GB2312" w:eastAsia="仿宋_GB2312" w:cs="仿宋_GB2312"/>
          <w:sz w:val="32"/>
          <w:szCs w:val="32"/>
          <w:lang w:val="en-US" w:eastAsia="zh-CN"/>
        </w:rPr>
      </w:pPr>
    </w:p>
    <w:p>
      <w:pPr>
        <w:ind w:firstLine="1600" w:firstLineChars="500"/>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bCs/>
          <w:sz w:val="32"/>
          <w:szCs w:val="32"/>
          <w:lang w:val="en-US" w:eastAsia="zh-CN"/>
        </w:rPr>
        <w:t>部门基本情况</w:t>
      </w:r>
    </w:p>
    <w:p>
      <w:pPr>
        <w:numPr>
          <w:ilvl w:val="0"/>
          <w:numId w:val="1"/>
        </w:numPr>
        <w:ind w:left="32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部门职能</w:t>
      </w:r>
    </w:p>
    <w:p>
      <w:pPr>
        <w:ind w:firstLine="160" w:firstLineChars="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主要任务</w:t>
      </w:r>
      <w:r>
        <w:rPr>
          <w:rFonts w:hint="eastAsia" w:ascii="仿宋_GB2312" w:hAnsi="仿宋_GB2312" w:eastAsia="仿宋_GB2312" w:cs="仿宋_GB2312"/>
          <w:sz w:val="32"/>
          <w:szCs w:val="32"/>
          <w:lang w:val="en-US" w:eastAsia="zh-CN"/>
        </w:rPr>
        <w:t>：开展医疗、保健、康复等卫生服务；承担医学教学、科研等工作。维护公立医院公益性，推动公立医院体制机制综合改革，进一步调动医务人员工作积极性，提高医院运行效率，提升医疗服务能力和质量，建立富有活力、保障可持续的公立医院运行新机制，提升人民群众享有医疗卫生服务的数量和质量。根据梅州市机构编制委员会文件《关于印发嘉应学院医学院附属医院机构编制方案的通知》（梅市机编发[2014]3号）。嘉应学院医学院附属医院履行下列职责：</w:t>
      </w:r>
    </w:p>
    <w:p>
      <w:pPr>
        <w:ind w:firstLine="160" w:firstLineChars="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一是</w:t>
      </w:r>
      <w:r>
        <w:rPr>
          <w:rFonts w:hint="eastAsia" w:ascii="仿宋_GB2312" w:hAnsi="仿宋_GB2312" w:eastAsia="仿宋_GB2312" w:cs="仿宋_GB2312"/>
          <w:sz w:val="32"/>
          <w:szCs w:val="32"/>
          <w:lang w:val="en-US" w:eastAsia="zh-CN"/>
        </w:rPr>
        <w:t>医疗卫生服务。对社区能提供全面、连续的医疗护理、预防保健和康复服务。</w:t>
      </w:r>
    </w:p>
    <w:p>
      <w:pPr>
        <w:numPr>
          <w:ilvl w:val="0"/>
          <w:numId w:val="2"/>
        </w:numPr>
        <w:ind w:left="48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承担地区内的常见病、多发病和较疑难病症诊治任务；</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抢救急危重症；接受下级医疗卫生机构的转诊。</w:t>
      </w:r>
    </w:p>
    <w:p>
      <w:pPr>
        <w:numPr>
          <w:ilvl w:val="0"/>
          <w:numId w:val="2"/>
        </w:numPr>
        <w:ind w:left="48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开展日常院前急救；承担灾害事故的现场急救，迅速</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组织配套的急救队伍接收成批病员进行院内急救。</w:t>
      </w:r>
    </w:p>
    <w:p>
      <w:pPr>
        <w:numPr>
          <w:ilvl w:val="0"/>
          <w:numId w:val="2"/>
        </w:numPr>
        <w:ind w:left="48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开展健康教育，掌握社区的疾病动态。参与社区内预</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防保健和康复服务工作。</w:t>
      </w:r>
    </w:p>
    <w:p>
      <w:pPr>
        <w:numPr>
          <w:ilvl w:val="0"/>
          <w:numId w:val="0"/>
        </w:numPr>
        <w:ind w:left="48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与医疗相结合开展教学、科研工作。</w:t>
      </w:r>
    </w:p>
    <w:p>
      <w:pPr>
        <w:numPr>
          <w:ilvl w:val="0"/>
          <w:numId w:val="3"/>
        </w:numPr>
        <w:ind w:left="480"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能承担基层医疗单位中各类卫生技术人员的进修、培</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训和本院职工的在职教育。</w:t>
      </w:r>
    </w:p>
    <w:p>
      <w:pPr>
        <w:numPr>
          <w:ilvl w:val="0"/>
          <w:numId w:val="3"/>
        </w:numPr>
        <w:ind w:left="48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能承担大专、本科医学院院校临床教学及临床实习任</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务。</w:t>
      </w:r>
    </w:p>
    <w:p>
      <w:pPr>
        <w:numPr>
          <w:ilvl w:val="0"/>
          <w:numId w:val="3"/>
        </w:numPr>
        <w:ind w:left="48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能承担省或市级科研项目。</w:t>
      </w:r>
    </w:p>
    <w:p>
      <w:pPr>
        <w:numPr>
          <w:ilvl w:val="0"/>
          <w:numId w:val="0"/>
        </w:numPr>
        <w:ind w:left="48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指导基层卫生机构相关业务。与市卫生行政业务主</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管部门协作指导地区内基层医疗卫生单位做好社区治疗、预防保健、康复和精神卫生等工作。与下级医院建立经常性的业务关系，开展双向转诊，帮助开展新技术，解决疑难问题和培训卫生技术及管理人员。</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依据国家法律法规和卫生行业质量管理要求，通过对医院运行过程中的总体医疗质量状况进行全方位的质量监督、检查和分析，推动政府部门各项医改政策在本院的落地。</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五是</w:t>
      </w:r>
      <w:r>
        <w:rPr>
          <w:rFonts w:hint="eastAsia" w:ascii="仿宋_GB2312" w:hAnsi="仿宋_GB2312" w:eastAsia="仿宋_GB2312" w:cs="仿宋_GB2312"/>
          <w:sz w:val="32"/>
          <w:szCs w:val="32"/>
          <w:lang w:val="en-US" w:eastAsia="zh-CN"/>
        </w:rPr>
        <w:t>根据上级卫生行政部门有关规定、要求以及医院医疗工作的核心，制定医疗质量管理方案，如目标、指标、计划、措施、效果评价、信息反馈等。</w:t>
      </w:r>
    </w:p>
    <w:p>
      <w:pPr>
        <w:numPr>
          <w:ilvl w:val="0"/>
          <w:numId w:val="0"/>
        </w:numPr>
        <w:rPr>
          <w:rFonts w:hint="eastAsia" w:ascii="仿宋_GB2312" w:eastAsia="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六是</w:t>
      </w:r>
      <w:r>
        <w:rPr>
          <w:rFonts w:hint="eastAsia" w:ascii="仿宋_GB2312" w:eastAsia="仿宋_GB2312"/>
          <w:sz w:val="32"/>
          <w:szCs w:val="32"/>
        </w:rPr>
        <w:t>布局合理、分工协作的医疗卫生服务体系和分级诊疗格局基本形成，以健康为中心的医疗卫生服务模式基本实现，科学合理的补偿机制和维护公益性、调动积极性、保障可持续的公立医院运行机制全面建立，医疗卫生服务发展不平衡不充分问题明显缓解，人民群众基本医疗卫生服务保障能力显著提高、健康水平明显提升。</w:t>
      </w:r>
    </w:p>
    <w:p>
      <w:pPr>
        <w:numPr>
          <w:ilvl w:val="0"/>
          <w:numId w:val="0"/>
        </w:numP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七是</w:t>
      </w:r>
      <w:r>
        <w:rPr>
          <w:rFonts w:hint="eastAsia" w:ascii="仿宋_GB2312" w:eastAsia="仿宋_GB2312"/>
          <w:sz w:val="32"/>
          <w:szCs w:val="32"/>
        </w:rPr>
        <w:t>加快建立现代医院管理制度，健全公立医院运行新机制。全面落实政府投入责任，建立维护公益性的长效投入机制。</w:t>
      </w:r>
      <w:r>
        <w:rPr>
          <w:rFonts w:hint="eastAsia" w:ascii="仿宋_GB2312" w:eastAsia="仿宋_GB2312"/>
          <w:sz w:val="32"/>
          <w:szCs w:val="32"/>
          <w:lang w:val="en-US" w:eastAsia="zh-CN"/>
        </w:rPr>
        <w:t>主要是落实好本院政府财政拨款的体制机制，积极与上级单位沟通协调，争取早日列入财政拨款补助的公立医院管理系列。</w:t>
      </w:r>
    </w:p>
    <w:p>
      <w:pPr>
        <w:numPr>
          <w:ilvl w:val="0"/>
          <w:numId w:val="0"/>
        </w:num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八是</w:t>
      </w:r>
      <w:r>
        <w:rPr>
          <w:rFonts w:hint="eastAsia" w:ascii="仿宋_GB2312" w:eastAsia="仿宋_GB2312"/>
          <w:sz w:val="32"/>
          <w:szCs w:val="32"/>
        </w:rPr>
        <w:t>深化医保制度改革，建立高效运行的医疗保障机制。</w:t>
      </w:r>
      <w:r>
        <w:rPr>
          <w:rFonts w:hint="eastAsia" w:ascii="仿宋_GB2312" w:eastAsia="仿宋_GB2312"/>
          <w:sz w:val="32"/>
          <w:szCs w:val="32"/>
          <w:lang w:val="en-US" w:eastAsia="zh-CN"/>
        </w:rPr>
        <w:t>切实做好按病种分值付费和单病种付费医保各项工作，加强控费措施，切实减轻群众住院负担，解决群众就医难的问题。</w:t>
      </w:r>
    </w:p>
    <w:p>
      <w:pPr>
        <w:ind w:firstLine="160" w:firstLineChars="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九是</w:t>
      </w:r>
      <w:r>
        <w:rPr>
          <w:rFonts w:hint="eastAsia" w:ascii="仿宋_GB2312" w:hAnsi="仿宋_GB2312" w:eastAsia="仿宋_GB2312" w:cs="仿宋_GB2312"/>
          <w:sz w:val="32"/>
          <w:szCs w:val="32"/>
          <w:lang w:val="en-US" w:eastAsia="zh-CN"/>
        </w:rPr>
        <w:t>承办市政府和市卫生行政主管部门及上级主管单位交办的其他任务。</w:t>
      </w:r>
    </w:p>
    <w:p>
      <w:pPr>
        <w:numPr>
          <w:ilvl w:val="0"/>
          <w:numId w:val="1"/>
        </w:numPr>
        <w:ind w:left="320" w:leftChars="0" w:firstLine="0" w:firstLine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年度总体工作和重点工作任务</w:t>
      </w:r>
    </w:p>
    <w:p>
      <w:pPr>
        <w:numPr>
          <w:ilvl w:val="0"/>
          <w:numId w:val="0"/>
        </w:numPr>
        <w:ind w:left="32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总体工作及量化工作目标</w:t>
      </w:r>
      <w:r>
        <w:rPr>
          <w:rFonts w:hint="eastAsia" w:ascii="仿宋_GB2312" w:hAnsi="仿宋_GB2312" w:eastAsia="仿宋_GB2312" w:cs="仿宋_GB2312"/>
          <w:sz w:val="32"/>
          <w:szCs w:val="32"/>
          <w:lang w:val="en-US" w:eastAsia="zh-CN"/>
        </w:rPr>
        <w:t>。突出政治站位，以习近平新时</w:t>
      </w:r>
    </w:p>
    <w:p>
      <w:pPr>
        <w:numPr>
          <w:ilvl w:val="0"/>
          <w:numId w:val="0"/>
        </w:numP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代中国特色社会主义思想和十九大精神统揽医院一切工作；聚焦综合医改工作、落实医保控费节费，不断推动医疗工作上台阶；深化医院各项改革，激发广大员工推动医院各项事业发展的体制机制新优势；大力推进公共卫生补短板强基础工作；重点推进住院大楼竣工搬迁工作等。主要量化工作目标：</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036"/>
        <w:gridCol w:w="1594"/>
        <w:gridCol w:w="1665"/>
        <w:gridCol w:w="126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2036"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主要工作内容</w:t>
            </w:r>
          </w:p>
        </w:tc>
        <w:tc>
          <w:tcPr>
            <w:tcW w:w="4519" w:type="dxa"/>
            <w:gridSpan w:val="3"/>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量化工作目标</w:t>
            </w:r>
          </w:p>
        </w:tc>
        <w:tc>
          <w:tcPr>
            <w:tcW w:w="1163"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3259" w:type="dxa"/>
            <w:gridSpan w:val="2"/>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指标名称</w:t>
            </w:r>
          </w:p>
        </w:tc>
        <w:tc>
          <w:tcPr>
            <w:tcW w:w="1260"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指标值增减</w:t>
            </w:r>
          </w:p>
        </w:tc>
        <w:tc>
          <w:tcPr>
            <w:tcW w:w="1163"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center"/>
          </w:tcPr>
          <w:p>
            <w:pPr>
              <w:numPr>
                <w:ilvl w:val="0"/>
                <w:numId w:val="0"/>
              </w:num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业务/经济</w:t>
            </w:r>
          </w:p>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指标名称</w:t>
            </w:r>
          </w:p>
        </w:tc>
        <w:tc>
          <w:tcPr>
            <w:tcW w:w="1665"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指标值</w:t>
            </w:r>
          </w:p>
        </w:tc>
        <w:tc>
          <w:tcPr>
            <w:tcW w:w="1260"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163"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036"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主要医疗业务工作量</w:t>
            </w:r>
          </w:p>
        </w:tc>
        <w:tc>
          <w:tcPr>
            <w:tcW w:w="159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诊疗总人数</w:t>
            </w:r>
          </w:p>
        </w:tc>
        <w:tc>
          <w:tcPr>
            <w:tcW w:w="1665"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100353</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15437</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出院病人数</w:t>
            </w:r>
          </w:p>
        </w:tc>
        <w:tc>
          <w:tcPr>
            <w:tcW w:w="1665"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4396</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-83</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病床使率</w:t>
            </w:r>
          </w:p>
        </w:tc>
        <w:tc>
          <w:tcPr>
            <w:tcW w:w="1665"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63.87%</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-2.96 </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手续台数</w:t>
            </w:r>
          </w:p>
        </w:tc>
        <w:tc>
          <w:tcPr>
            <w:tcW w:w="1665"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1228</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-87</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036"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主要财务业务工作量</w:t>
            </w:r>
          </w:p>
        </w:tc>
        <w:tc>
          <w:tcPr>
            <w:tcW w:w="159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医疗盈余率</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-21.47%</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-4.45</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资产负债率</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39.08%</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8.38</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人员经费占比</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43.52%</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-6.66</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万元收入能耗占比</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158.97</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-2.14</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036"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主要医疗保险与控费指标</w:t>
            </w:r>
          </w:p>
        </w:tc>
        <w:tc>
          <w:tcPr>
            <w:tcW w:w="159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医疗收入中来自医保的比例（门诊）</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20.25%</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5.90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医疗收入中来自医保的比例（住院）</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42.24%</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-4.94</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医疗服务收入</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25.12%</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-4.77</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医疗收入增幅（门诊）</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10.32%</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4.23</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医疗收入增幅（住院）</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-6.76%</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17.79</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次均费用增幅（门诊）</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-9.28%</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-21.33</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次均费用增幅（住院）</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-8.75%</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-3.75</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次均药品费用增幅（门诊）</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3.07%</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3.32</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次均药品费用增幅（住院）</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-26.94%</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-5.41</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036"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进修培训和带教实习人次及教学课时</w:t>
            </w:r>
          </w:p>
        </w:tc>
        <w:tc>
          <w:tcPr>
            <w:tcW w:w="1594" w:type="dxa"/>
            <w:vAlign w:val="top"/>
          </w:tcPr>
          <w:p>
            <w:pPr>
              <w:numPr>
                <w:ilvl w:val="0"/>
                <w:numId w:val="0"/>
              </w:numPr>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完成医生和护理进修培训人次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完成医学全日制大专本科实习培训人次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45</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21</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完成医学院成人教育大专本科实习培训人次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198</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77</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完成医学院教学课时节数</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11449</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923</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2036" w:type="dxa"/>
            <w:vMerge w:val="restart"/>
          </w:tcPr>
          <w:p>
            <w:pPr>
              <w:numPr>
                <w:ilvl w:val="0"/>
                <w:numId w:val="0"/>
              </w:num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不断提升医护人员专业素质</w:t>
            </w: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选派人员到上级医院进修</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外出学习培训人次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207</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69</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院内举办各类学术讲座场次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2036" w:type="dxa"/>
            <w:vMerge w:val="restart"/>
          </w:tcPr>
          <w:p>
            <w:pPr>
              <w:numPr>
                <w:ilvl w:val="0"/>
                <w:numId w:val="0"/>
              </w:num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参加市省级各类技能比赛取得的成绩</w:t>
            </w: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全市“新基药  粤健康”团体比赛</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二等奖</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个人参加全市“新基药  粤健康”比赛奖次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3人获三等奖</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省级“会阴侧切缝合与裂伤修复技能”比赛奖次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获基层优胜奖1个</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default"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梅州市综合病例站点式护理技能竞赛奖次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1人获三等奖1个</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2036" w:type="dxa"/>
            <w:vMerge w:val="restart"/>
          </w:tcPr>
          <w:p>
            <w:pPr>
              <w:numPr>
                <w:ilvl w:val="0"/>
                <w:numId w:val="0"/>
              </w:num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送医送药下乡及优惠活动彰显公益性</w:t>
            </w: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送医送药下乡义诊活动场次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送医送药下乡义诊活动义诊人次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2066</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148</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送医送药下乡义诊活动免费提供药品价值</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2万元</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三八节.母亲节优惠体检人次</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557</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三八节.母亲节优惠体检金额</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8.21万元</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tcPr>
          <w:p>
            <w:pPr>
              <w:numPr>
                <w:ilvl w:val="0"/>
                <w:numId w:val="0"/>
              </w:num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2036" w:type="dxa"/>
            <w:vMerge w:val="restart"/>
          </w:tcPr>
          <w:p>
            <w:pPr>
              <w:numPr>
                <w:ilvl w:val="0"/>
                <w:numId w:val="0"/>
              </w:num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杰出医护人员代表</w:t>
            </w: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刘汉云同志获得全国“五一劳动奖章”</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1人次</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李锋同志获得2019年梅州好医生</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1人次</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吴剑红同志获得2019年梅州最美护士</w:t>
            </w:r>
          </w:p>
        </w:tc>
        <w:tc>
          <w:tcPr>
            <w:tcW w:w="16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1人次</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2036" w:type="dxa"/>
          </w:tcPr>
          <w:p>
            <w:pPr>
              <w:numPr>
                <w:ilvl w:val="0"/>
                <w:numId w:val="0"/>
              </w:num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住院大楼建设情况</w:t>
            </w:r>
          </w:p>
        </w:tc>
        <w:tc>
          <w:tcPr>
            <w:tcW w:w="1594" w:type="dxa"/>
            <w:vAlign w:val="top"/>
          </w:tcPr>
          <w:p>
            <w:pPr>
              <w:numPr>
                <w:ilvl w:val="0"/>
                <w:numId w:val="0"/>
              </w:num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完成建设形象进度</w:t>
            </w:r>
          </w:p>
        </w:tc>
        <w:tc>
          <w:tcPr>
            <w:tcW w:w="1665"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97.23%</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2036" w:type="dxa"/>
            <w:vMerge w:val="restart"/>
          </w:tcPr>
          <w:p>
            <w:pPr>
              <w:numPr>
                <w:ilvl w:val="0"/>
                <w:numId w:val="0"/>
              </w:num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持续提升教学质量和科研水平</w:t>
            </w: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2019年申报市级科研课题</w:t>
            </w:r>
          </w:p>
        </w:tc>
        <w:tc>
          <w:tcPr>
            <w:tcW w:w="1665"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7项</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发表省级以上杂志论文</w:t>
            </w:r>
          </w:p>
        </w:tc>
        <w:tc>
          <w:tcPr>
            <w:tcW w:w="1665"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23篇</w:t>
            </w:r>
          </w:p>
        </w:tc>
        <w:tc>
          <w:tcPr>
            <w:tcW w:w="126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Merge w:val="restart"/>
            <w:vAlign w:val="top"/>
          </w:tcPr>
          <w:p>
            <w:pPr>
              <w:numPr>
                <w:ilvl w:val="0"/>
                <w:numId w:val="0"/>
              </w:num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医学院教学系列奖励项目</w:t>
            </w:r>
          </w:p>
        </w:tc>
        <w:tc>
          <w:tcPr>
            <w:tcW w:w="1665"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科研贡献奖</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刘竹英获二等奖</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Merge w:val="continue"/>
            <w:vAlign w:val="top"/>
          </w:tcPr>
          <w:p>
            <w:pPr>
              <w:numPr>
                <w:ilvl w:val="0"/>
                <w:numId w:val="0"/>
              </w:numPr>
              <w:jc w:val="both"/>
              <w:rPr>
                <w:rFonts w:hint="eastAsia" w:ascii="仿宋_GB2312" w:hAnsi="仿宋_GB2312" w:eastAsia="仿宋_GB2312" w:cs="仿宋_GB2312"/>
                <w:sz w:val="28"/>
                <w:szCs w:val="28"/>
                <w:vertAlign w:val="baseline"/>
                <w:lang w:val="en-US" w:eastAsia="zh-CN"/>
              </w:rPr>
            </w:pPr>
          </w:p>
        </w:tc>
        <w:tc>
          <w:tcPr>
            <w:tcW w:w="1665" w:type="dxa"/>
            <w:vAlign w:val="top"/>
          </w:tcPr>
          <w:p>
            <w:pPr>
              <w:numPr>
                <w:ilvl w:val="0"/>
                <w:numId w:val="0"/>
              </w:num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1"/>
                <w:szCs w:val="21"/>
                <w:vertAlign w:val="baseline"/>
                <w:lang w:val="en-US" w:eastAsia="zh-CN"/>
              </w:rPr>
              <w:t>教书育人乐教奖</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谢章辉</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Merge w:val="continue"/>
            <w:vAlign w:val="top"/>
          </w:tcPr>
          <w:p>
            <w:pPr>
              <w:numPr>
                <w:ilvl w:val="0"/>
                <w:numId w:val="0"/>
              </w:numPr>
              <w:jc w:val="both"/>
              <w:rPr>
                <w:rFonts w:hint="eastAsia" w:ascii="仿宋_GB2312" w:hAnsi="仿宋_GB2312" w:eastAsia="仿宋_GB2312" w:cs="仿宋_GB2312"/>
                <w:sz w:val="28"/>
                <w:szCs w:val="28"/>
                <w:vertAlign w:val="baseline"/>
                <w:lang w:val="en-US" w:eastAsia="zh-CN"/>
              </w:rPr>
            </w:pPr>
          </w:p>
        </w:tc>
        <w:tc>
          <w:tcPr>
            <w:tcW w:w="1665" w:type="dxa"/>
            <w:vAlign w:val="top"/>
          </w:tcPr>
          <w:p>
            <w:pPr>
              <w:numPr>
                <w:ilvl w:val="0"/>
                <w:numId w:val="0"/>
              </w:num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优秀教学管理奖</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董建新</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Merge w:val="continue"/>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p>
        </w:tc>
        <w:tc>
          <w:tcPr>
            <w:tcW w:w="2036" w:type="dxa"/>
            <w:vMerge w:val="continue"/>
          </w:tcPr>
          <w:p>
            <w:pPr>
              <w:numPr>
                <w:ilvl w:val="0"/>
                <w:numId w:val="0"/>
              </w:numPr>
              <w:rPr>
                <w:rFonts w:hint="eastAsia" w:ascii="仿宋_GB2312" w:hAnsi="仿宋_GB2312" w:eastAsia="仿宋_GB2312" w:cs="仿宋_GB2312"/>
                <w:sz w:val="28"/>
                <w:szCs w:val="28"/>
                <w:vertAlign w:val="baseline"/>
                <w:lang w:val="en-US" w:eastAsia="zh-CN"/>
              </w:rPr>
            </w:pPr>
          </w:p>
        </w:tc>
        <w:tc>
          <w:tcPr>
            <w:tcW w:w="1594" w:type="dxa"/>
            <w:vMerge w:val="continue"/>
            <w:vAlign w:val="top"/>
          </w:tcPr>
          <w:p>
            <w:pPr>
              <w:numPr>
                <w:ilvl w:val="0"/>
                <w:numId w:val="0"/>
              </w:numPr>
              <w:jc w:val="both"/>
              <w:rPr>
                <w:rFonts w:hint="eastAsia" w:ascii="仿宋_GB2312" w:hAnsi="仿宋_GB2312" w:eastAsia="仿宋_GB2312" w:cs="仿宋_GB2312"/>
                <w:sz w:val="28"/>
                <w:szCs w:val="28"/>
                <w:vertAlign w:val="baseline"/>
                <w:lang w:val="en-US" w:eastAsia="zh-CN"/>
              </w:rPr>
            </w:pPr>
          </w:p>
        </w:tc>
        <w:tc>
          <w:tcPr>
            <w:tcW w:w="1665" w:type="dxa"/>
            <w:vAlign w:val="top"/>
          </w:tcPr>
          <w:p>
            <w:pPr>
              <w:numPr>
                <w:ilvl w:val="0"/>
                <w:numId w:val="0"/>
              </w:num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特别贡献奖</w:t>
            </w:r>
          </w:p>
        </w:tc>
        <w:tc>
          <w:tcPr>
            <w:tcW w:w="1260"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刘汉云</w:t>
            </w:r>
          </w:p>
        </w:tc>
        <w:tc>
          <w:tcPr>
            <w:tcW w:w="1163" w:type="dxa"/>
          </w:tcPr>
          <w:p>
            <w:pPr>
              <w:numPr>
                <w:ilvl w:val="0"/>
                <w:numId w:val="0"/>
              </w:numPr>
              <w:rPr>
                <w:rFonts w:hint="eastAsia" w:ascii="仿宋_GB2312" w:hAnsi="仿宋_GB2312" w:eastAsia="仿宋_GB2312" w:cs="仿宋_GB2312"/>
                <w:sz w:val="28"/>
                <w:szCs w:val="28"/>
                <w:vertAlign w:val="baseline"/>
                <w:lang w:val="en-US" w:eastAsia="zh-CN"/>
              </w:rPr>
            </w:pPr>
          </w:p>
        </w:tc>
      </w:tr>
    </w:tbl>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年度重点工作任务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强化全面从严治党，党建工作水平有提升。</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强化医院内部管理，医院管理效能有提升。</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强化医疗业务内涵建设，医疗服务水平有提升。</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强化医院人文建设，医院对外形象有提升。</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积极推进系列健康教育宣传活动，扩大医院宣传效果。</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与嘉应学院医学院开展医教研互促活动，教学与临床实践相结合，持续提升教学质量和科研水平。</w:t>
      </w:r>
      <w:r>
        <w:rPr>
          <w:rFonts w:hint="eastAsia" w:ascii="仿宋_GB2312" w:hAnsi="仿宋_GB2312" w:eastAsia="仿宋_GB2312" w:cs="仿宋_GB2312"/>
          <w:b/>
          <w:bCs/>
          <w:sz w:val="32"/>
          <w:szCs w:val="32"/>
          <w:lang w:val="en-US" w:eastAsia="zh-CN"/>
        </w:rPr>
        <w:t>七是</w:t>
      </w:r>
      <w:r>
        <w:rPr>
          <w:rFonts w:hint="eastAsia" w:ascii="仿宋_GB2312" w:hAnsi="仿宋_GB2312" w:eastAsia="仿宋_GB2312" w:cs="仿宋_GB2312"/>
          <w:sz w:val="32"/>
          <w:szCs w:val="32"/>
          <w:lang w:val="en-US" w:eastAsia="zh-CN"/>
        </w:rPr>
        <w:t>狠抓住院大楼建设进度，力促早日竣工搬迁，尽快改善落后的住院环境。</w:t>
      </w:r>
    </w:p>
    <w:p>
      <w:pPr>
        <w:numPr>
          <w:ilvl w:val="0"/>
          <w:numId w:val="1"/>
        </w:numPr>
        <w:ind w:left="320" w:leftChars="0" w:firstLine="0" w:firstLineChars="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部门整体支出绩效目标</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受医院医疗业务发展局限影响，主要医疗业务工作量指标有所下降，但诊疗总人数增长了18.18%。</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受主要医疗业务工作量指标有所下降的影响，主要财务业务工作量指标不够理想，但万元收入能耗占比下降了2.14元。</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受主要医疗业务工作量指标有所下降的影响，主要基本医疗保险与控费指标，医疗收入门诊工作量是增长的，但住院工作量是下降的，带来的是门诊业务收入是上升的，而住院业务收入是下降的。</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进修培训和带教实习人次及教学课时，所有指标都是上升的，完成任务效果良好，突出表现了医教研相结合附属医院的最大特点。</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不断提升医护人员专业素质方面，取得较好的效果，所有指标有所增加。</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参加市省各类技能比赛取得的成绩，有了长足的进步，成绩可佳。</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在送医送药下乡及优惠活动彰显公益性方面，附属医院取得了喜人的成绩，有所突破。</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在培养杰出医护人员方面，附属医院取得了喜人的成绩，刘汉云同志获得全国“五一劳动奖章”的殊荣，李锋、吴剑红同志分别被为“2019年梅州好医生”、“2019年梅州市最美护士”。</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住院大楼建设情况，</w:t>
      </w:r>
      <w:r>
        <w:rPr>
          <w:rFonts w:hint="eastAsia" w:ascii="仿宋_GB2312" w:hAnsi="仿宋_GB2312" w:eastAsia="仿宋_GB2312" w:cs="仿宋_GB2312"/>
          <w:bCs/>
          <w:sz w:val="32"/>
          <w:szCs w:val="32"/>
        </w:rPr>
        <w:t>为尽快改善落后的住院环境，提升患者的就医体验，助推医院业务发展，一年来医院、医学院、市代建中心、市住建局等多方通过现场调研、开协调会、发律师函、电话约谈等多种方式不断催促工程施工方全力加快住院大楼建设进度。目前住院大楼主体工程完成约9</w:t>
      </w:r>
      <w:r>
        <w:rPr>
          <w:rFonts w:hint="eastAsia" w:ascii="仿宋_GB2312" w:hAnsi="仿宋_GB2312" w:eastAsia="仿宋_GB2312" w:cs="仿宋_GB2312"/>
          <w:bCs/>
          <w:sz w:val="32"/>
          <w:szCs w:val="32"/>
          <w:lang w:val="en-US" w:eastAsia="zh-CN"/>
        </w:rPr>
        <w:t>7.23</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w:t>
      </w:r>
    </w:p>
    <w:p>
      <w:pPr>
        <w:numPr>
          <w:ilvl w:val="0"/>
          <w:numId w:val="4"/>
        </w:numPr>
        <w:ind w:firstLine="640" w:firstLineChars="200"/>
        <w:rPr>
          <w:rFonts w:hint="default" w:ascii="仿宋_GB2312" w:hAnsi="仿宋_GB2312" w:eastAsia="仿宋_GB2312" w:cs="仿宋_GB2312"/>
          <w:sz w:val="32"/>
          <w:szCs w:val="32"/>
          <w:lang w:val="en-US" w:eastAsia="zh-CN"/>
        </w:rPr>
      </w:pPr>
      <w:r>
        <w:rPr>
          <w:rFonts w:hint="eastAsia" w:ascii="仿宋" w:hAnsi="仿宋" w:eastAsia="仿宋" w:cs="仿宋"/>
          <w:bCs/>
          <w:sz w:val="32"/>
          <w:szCs w:val="32"/>
          <w:lang w:val="en-US" w:eastAsia="zh-CN"/>
        </w:rPr>
        <w:t>在持续提升教学质量和科研水平方面，</w:t>
      </w:r>
      <w:r>
        <w:rPr>
          <w:rFonts w:hint="eastAsia" w:ascii="仿宋_GB2312" w:hAnsi="仿宋_GB2312" w:eastAsia="仿宋_GB2312" w:cs="仿宋_GB2312"/>
          <w:bCs/>
          <w:sz w:val="32"/>
          <w:szCs w:val="32"/>
        </w:rPr>
        <w:t>我院始终把教学</w:t>
      </w:r>
      <w:r>
        <w:rPr>
          <w:rFonts w:hint="eastAsia" w:ascii="仿宋_GB2312" w:hAnsi="仿宋_GB2312" w:eastAsia="仿宋_GB2312" w:cs="仿宋_GB2312"/>
          <w:bCs/>
          <w:sz w:val="32"/>
          <w:szCs w:val="32"/>
          <w:lang w:val="en-US" w:eastAsia="zh-CN"/>
        </w:rPr>
        <w:t>和科研</w:t>
      </w:r>
      <w:r>
        <w:rPr>
          <w:rFonts w:hint="eastAsia" w:ascii="仿宋_GB2312" w:hAnsi="仿宋_GB2312" w:eastAsia="仿宋_GB2312" w:cs="仿宋_GB2312"/>
          <w:bCs/>
          <w:sz w:val="32"/>
          <w:szCs w:val="32"/>
        </w:rPr>
        <w:t>工作放在重要位置。全年成功</w:t>
      </w:r>
      <w:r>
        <w:rPr>
          <w:rFonts w:hint="eastAsia" w:ascii="仿宋_GB2312" w:hAnsi="仿宋_GB2312" w:eastAsia="仿宋_GB2312" w:cs="仿宋_GB2312"/>
          <w:bCs/>
          <w:sz w:val="32"/>
          <w:szCs w:val="32"/>
          <w:lang w:val="zh-CN"/>
        </w:rPr>
        <w:t>申报市级科研课题</w:t>
      </w:r>
      <w:r>
        <w:rPr>
          <w:rFonts w:hint="eastAsia" w:ascii="仿宋_GB2312" w:hAnsi="仿宋_GB2312" w:eastAsia="仿宋_GB2312" w:cs="仿宋_GB2312"/>
          <w:bCs/>
          <w:sz w:val="32"/>
          <w:szCs w:val="32"/>
        </w:rPr>
        <w:t>7</w:t>
      </w:r>
      <w:r>
        <w:rPr>
          <w:rFonts w:hint="eastAsia" w:ascii="仿宋_GB2312" w:hAnsi="仿宋_GB2312" w:eastAsia="仿宋_GB2312" w:cs="仿宋_GB2312"/>
          <w:bCs/>
          <w:sz w:val="32"/>
          <w:szCs w:val="32"/>
          <w:lang w:val="zh-CN"/>
        </w:rPr>
        <w:t>项，发表省级以上杂志论文</w:t>
      </w:r>
      <w:r>
        <w:rPr>
          <w:rFonts w:hint="eastAsia" w:ascii="仿宋_GB2312" w:hAnsi="仿宋_GB2312" w:eastAsia="仿宋_GB2312" w:cs="仿宋_GB2312"/>
          <w:bCs/>
          <w:sz w:val="32"/>
          <w:szCs w:val="32"/>
        </w:rPr>
        <w:t>23篇</w:t>
      </w: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rPr>
        <w:t>承担</w:t>
      </w:r>
      <w:r>
        <w:rPr>
          <w:rFonts w:hint="eastAsia" w:ascii="仿宋_GB2312" w:hAnsi="仿宋_GB2312" w:eastAsia="仿宋_GB2312" w:cs="仿宋_GB2312"/>
          <w:bCs/>
          <w:sz w:val="32"/>
          <w:szCs w:val="32"/>
          <w:lang w:val="zh-CN"/>
        </w:rPr>
        <w:t>医学院教学任务共</w:t>
      </w:r>
      <w:r>
        <w:rPr>
          <w:rFonts w:hint="eastAsia" w:ascii="仿宋_GB2312" w:hAnsi="仿宋_GB2312" w:eastAsia="仿宋_GB2312" w:cs="仿宋_GB2312"/>
          <w:bCs/>
          <w:sz w:val="32"/>
          <w:szCs w:val="32"/>
          <w:lang w:val="en-US" w:eastAsia="zh-CN"/>
        </w:rPr>
        <w:t>11449</w:t>
      </w:r>
      <w:r>
        <w:rPr>
          <w:rFonts w:hint="eastAsia" w:ascii="仿宋_GB2312" w:hAnsi="仿宋_GB2312" w:eastAsia="仿宋_GB2312" w:cs="仿宋_GB2312"/>
          <w:bCs/>
          <w:sz w:val="32"/>
          <w:szCs w:val="32"/>
          <w:lang w:val="zh-CN"/>
        </w:rPr>
        <w:t>节课时，接收医学院</w:t>
      </w:r>
      <w:r>
        <w:rPr>
          <w:rFonts w:hint="eastAsia" w:ascii="仿宋_GB2312" w:hAnsi="仿宋_GB2312" w:eastAsia="仿宋_GB2312" w:cs="仿宋_GB2312"/>
          <w:bCs/>
          <w:sz w:val="32"/>
          <w:szCs w:val="32"/>
          <w:lang w:val="en-US" w:eastAsia="zh-CN"/>
        </w:rPr>
        <w:t>全日制大专本科</w:t>
      </w:r>
      <w:r>
        <w:rPr>
          <w:rFonts w:hint="eastAsia" w:ascii="仿宋_GB2312" w:hAnsi="仿宋_GB2312" w:eastAsia="仿宋_GB2312" w:cs="仿宋_GB2312"/>
          <w:bCs/>
          <w:sz w:val="32"/>
          <w:szCs w:val="32"/>
          <w:lang w:val="zh-CN"/>
        </w:rPr>
        <w:t>实习</w:t>
      </w:r>
      <w:r>
        <w:rPr>
          <w:rFonts w:hint="eastAsia" w:ascii="仿宋_GB2312" w:hAnsi="仿宋_GB2312" w:eastAsia="仿宋_GB2312" w:cs="仿宋_GB2312"/>
          <w:bCs/>
          <w:sz w:val="32"/>
          <w:szCs w:val="32"/>
          <w:lang w:val="en-US" w:eastAsia="zh-CN"/>
        </w:rPr>
        <w:t>培训及进修53人次</w:t>
      </w:r>
      <w:r>
        <w:rPr>
          <w:rFonts w:hint="eastAsia" w:ascii="仿宋_GB2312" w:hAnsi="仿宋_GB2312" w:eastAsia="仿宋_GB2312" w:cs="仿宋_GB2312"/>
          <w:bCs/>
          <w:sz w:val="32"/>
          <w:szCs w:val="32"/>
          <w:lang w:val="zh-CN"/>
        </w:rPr>
        <w:t>，教学工作获得学生和进修生的一致好评</w:t>
      </w:r>
      <w:r>
        <w:rPr>
          <w:rFonts w:hint="eastAsia" w:ascii="仿宋_GB2312" w:hAnsi="仿宋_GB2312" w:eastAsia="仿宋_GB2312" w:cs="仿宋_GB2312"/>
          <w:bCs/>
          <w:sz w:val="32"/>
          <w:szCs w:val="32"/>
        </w:rPr>
        <w:t>。此外，在医学院颁发的“邓振龙奖教金”系列奖项中，刘竹英获“科研贡献奖”二等奖，谢章辉获“教书育人乐教奖”，董建新获“优秀教学管理奖”</w:t>
      </w:r>
      <w:r>
        <w:rPr>
          <w:rFonts w:hint="eastAsia" w:ascii="仿宋_GB2312" w:hAnsi="仿宋_GB2312" w:eastAsia="仿宋_GB2312" w:cs="仿宋_GB2312"/>
          <w:bCs/>
          <w:sz w:val="32"/>
          <w:szCs w:val="32"/>
          <w:lang w:val="zh-CN"/>
        </w:rPr>
        <w:t>。刘汉云</w:t>
      </w:r>
      <w:r>
        <w:rPr>
          <w:rFonts w:hint="eastAsia" w:ascii="仿宋_GB2312" w:hAnsi="仿宋_GB2312" w:eastAsia="仿宋_GB2312" w:cs="仿宋_GB2312"/>
          <w:bCs/>
          <w:sz w:val="32"/>
          <w:szCs w:val="32"/>
        </w:rPr>
        <w:t>同志</w:t>
      </w:r>
      <w:r>
        <w:rPr>
          <w:rFonts w:hint="eastAsia" w:ascii="仿宋_GB2312" w:hAnsi="仿宋_GB2312" w:eastAsia="仿宋_GB2312" w:cs="仿宋_GB2312"/>
          <w:bCs/>
          <w:sz w:val="32"/>
          <w:szCs w:val="32"/>
          <w:lang w:val="zh-CN"/>
        </w:rPr>
        <w:t>被医学院授予“特别贡献奖”荣誉。教学科研能力不断提高，促进医疗水平同步提升。</w:t>
      </w:r>
    </w:p>
    <w:p>
      <w:pPr>
        <w:numPr>
          <w:ilvl w:val="0"/>
          <w:numId w:val="1"/>
        </w:numPr>
        <w:ind w:left="320" w:leftChars="0" w:firstLine="0" w:firstLineChars="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部门整体支出情况</w:t>
      </w:r>
    </w:p>
    <w:p>
      <w:pPr>
        <w:numPr>
          <w:ilvl w:val="0"/>
          <w:numId w:val="0"/>
        </w:numPr>
        <w:ind w:left="320" w:leftChars="0"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财政资金整体支出。2019年我院财政资金年初支出</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1637.16万元（经常性预算40万元，项目预算1597.16万元），年中调整追加预算为2159.05万元，调整后支出预算为3796.21万元；年末支出决算为870.39万元；受住院大楼建设迟缓的影响，项目预算资金被收回指标2925.82万元。</w:t>
      </w:r>
    </w:p>
    <w:p>
      <w:pPr>
        <w:numPr>
          <w:ilvl w:val="0"/>
          <w:numId w:val="0"/>
        </w:numP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 xml:space="preserve">   由于附属医院没有经常性的财政预算拨款，每年只有40万元的财政定额补助。“基本支出”是来源于“其他资金”进行列支的（注：即由自收自支的事业收入解决）。财政资金绝大部分是项目专项资金，专项用于项目建设支出的。所以，财政资金整体支出是看不到附属医院的“人员经费”与“公用经费”支出的数据。  </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840"/>
        <w:gridCol w:w="1581"/>
        <w:gridCol w:w="1065"/>
        <w:gridCol w:w="1065"/>
        <w:gridCol w:w="1314"/>
        <w:gridCol w:w="100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2421" w:type="dxa"/>
            <w:gridSpan w:val="2"/>
            <w:vMerge w:val="restart"/>
            <w:vAlign w:val="bottom"/>
          </w:tcPr>
          <w:p>
            <w:pPr>
              <w:numPr>
                <w:ilvl w:val="0"/>
                <w:numId w:val="0"/>
              </w:numPr>
              <w:jc w:val="center"/>
              <w:rPr>
                <w:rFonts w:hint="eastAsia" w:ascii="仿宋_GB2312" w:hAnsi="仿宋_GB2312" w:eastAsia="仿宋_GB2312" w:cs="仿宋_GB2312"/>
                <w:sz w:val="28"/>
                <w:szCs w:val="28"/>
                <w:vertAlign w:val="baseline"/>
                <w:lang w:val="en-US" w:eastAsia="zh-CN"/>
              </w:rPr>
            </w:pPr>
          </w:p>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支出性质</w:t>
            </w:r>
          </w:p>
          <w:p>
            <w:pPr>
              <w:numPr>
                <w:ilvl w:val="0"/>
                <w:numId w:val="0"/>
              </w:numPr>
              <w:jc w:val="center"/>
              <w:rPr>
                <w:rFonts w:hint="default" w:ascii="仿宋_GB2312" w:hAnsi="仿宋_GB2312" w:eastAsia="仿宋_GB2312" w:cs="仿宋_GB2312"/>
                <w:sz w:val="21"/>
                <w:szCs w:val="21"/>
                <w:vertAlign w:val="baseline"/>
                <w:lang w:val="en-US" w:eastAsia="zh-CN"/>
              </w:rPr>
            </w:pPr>
          </w:p>
          <w:p>
            <w:pPr>
              <w:bidi w:val="0"/>
              <w:jc w:val="center"/>
              <w:rPr>
                <w:rFonts w:hint="default" w:asciiTheme="minorHAnsi" w:hAnsiTheme="minorHAnsi" w:eastAsiaTheme="minorEastAsia" w:cstheme="minorBidi"/>
                <w:kern w:val="2"/>
                <w:sz w:val="21"/>
                <w:szCs w:val="21"/>
                <w:lang w:val="en-US" w:eastAsia="zh-CN" w:bidi="ar-SA"/>
              </w:rPr>
            </w:pPr>
          </w:p>
        </w:tc>
        <w:tc>
          <w:tcPr>
            <w:tcW w:w="3444" w:type="dxa"/>
            <w:gridSpan w:val="3"/>
            <w:vAlign w:val="top"/>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预算数</w:t>
            </w:r>
          </w:p>
        </w:tc>
        <w:tc>
          <w:tcPr>
            <w:tcW w:w="1883" w:type="dxa"/>
            <w:gridSpan w:val="2"/>
            <w:vAlign w:val="top"/>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Merge w:val="continue"/>
          </w:tcPr>
          <w:p>
            <w:pPr>
              <w:numPr>
                <w:ilvl w:val="0"/>
                <w:numId w:val="0"/>
              </w:numPr>
              <w:rPr>
                <w:rFonts w:hint="default" w:ascii="仿宋_GB2312" w:hAnsi="仿宋_GB2312" w:eastAsia="仿宋_GB2312" w:cs="仿宋_GB2312"/>
                <w:sz w:val="28"/>
                <w:szCs w:val="28"/>
                <w:vertAlign w:val="baseline"/>
                <w:lang w:val="en-US" w:eastAsia="zh-CN"/>
              </w:rPr>
            </w:pPr>
          </w:p>
        </w:tc>
        <w:tc>
          <w:tcPr>
            <w:tcW w:w="2421" w:type="dxa"/>
            <w:gridSpan w:val="2"/>
            <w:vMerge w:val="continue"/>
            <w:vAlign w:val="top"/>
          </w:tcPr>
          <w:p>
            <w:pPr>
              <w:bidi w:val="0"/>
              <w:jc w:val="center"/>
              <w:rPr>
                <w:rFonts w:hint="default" w:asciiTheme="minorHAnsi" w:hAnsiTheme="minorHAnsi" w:eastAsiaTheme="minorEastAsia" w:cstheme="minorBidi"/>
                <w:kern w:val="2"/>
                <w:sz w:val="21"/>
                <w:szCs w:val="21"/>
                <w:lang w:val="en-US" w:eastAsia="zh-CN" w:bidi="ar-SA"/>
              </w:rPr>
            </w:pPr>
          </w:p>
        </w:tc>
        <w:tc>
          <w:tcPr>
            <w:tcW w:w="106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年初预算</w:t>
            </w:r>
          </w:p>
        </w:tc>
        <w:tc>
          <w:tcPr>
            <w:tcW w:w="106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年中调整</w:t>
            </w:r>
          </w:p>
        </w:tc>
        <w:tc>
          <w:tcPr>
            <w:tcW w:w="1314"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调整后预算</w:t>
            </w:r>
          </w:p>
        </w:tc>
        <w:tc>
          <w:tcPr>
            <w:tcW w:w="1005"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支出数</w:t>
            </w:r>
          </w:p>
        </w:tc>
        <w:tc>
          <w:tcPr>
            <w:tcW w:w="878"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支出比例（%）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774"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2421" w:type="dxa"/>
            <w:gridSpan w:val="2"/>
            <w:vAlign w:val="center"/>
          </w:tcPr>
          <w:p>
            <w:pPr>
              <w:bidi w:val="0"/>
              <w:ind w:firstLine="840" w:firstLineChars="30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8"/>
                <w:szCs w:val="28"/>
                <w:lang w:val="en-US" w:eastAsia="zh-CN" w:bidi="ar-SA"/>
              </w:rPr>
              <w:t>合计</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1590</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2206.21</w:t>
            </w:r>
          </w:p>
        </w:tc>
        <w:tc>
          <w:tcPr>
            <w:tcW w:w="13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3796.21</w:t>
            </w:r>
          </w:p>
        </w:tc>
        <w:tc>
          <w:tcPr>
            <w:tcW w:w="100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870.39</w:t>
            </w:r>
          </w:p>
        </w:tc>
        <w:tc>
          <w:tcPr>
            <w:tcW w:w="87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840" w:type="dxa"/>
            <w:vMerge w:val="restar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基本支出</w:t>
            </w:r>
          </w:p>
        </w:tc>
        <w:tc>
          <w:tcPr>
            <w:tcW w:w="1581"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人员经费</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3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100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87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840" w:type="dxa"/>
            <w:vMerge w:val="continue"/>
          </w:tcPr>
          <w:p>
            <w:pPr>
              <w:numPr>
                <w:ilvl w:val="0"/>
                <w:numId w:val="0"/>
              </w:numPr>
              <w:rPr>
                <w:rFonts w:hint="default" w:ascii="仿宋_GB2312" w:hAnsi="仿宋_GB2312" w:eastAsia="仿宋_GB2312" w:cs="仿宋_GB2312"/>
                <w:sz w:val="28"/>
                <w:szCs w:val="28"/>
                <w:vertAlign w:val="baseline"/>
                <w:lang w:val="en-US" w:eastAsia="zh-CN"/>
              </w:rPr>
            </w:pPr>
          </w:p>
        </w:tc>
        <w:tc>
          <w:tcPr>
            <w:tcW w:w="1581"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日常公用经费</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47.16</w:t>
            </w:r>
          </w:p>
        </w:tc>
        <w:tc>
          <w:tcPr>
            <w:tcW w:w="13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97.16</w:t>
            </w:r>
          </w:p>
        </w:tc>
        <w:tc>
          <w:tcPr>
            <w:tcW w:w="100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53.16</w:t>
            </w:r>
          </w:p>
        </w:tc>
        <w:tc>
          <w:tcPr>
            <w:tcW w:w="87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p>
        </w:tc>
        <w:tc>
          <w:tcPr>
            <w:tcW w:w="840" w:type="dxa"/>
            <w:vMerge w:val="continue"/>
          </w:tcPr>
          <w:p>
            <w:pPr>
              <w:numPr>
                <w:ilvl w:val="0"/>
                <w:numId w:val="0"/>
              </w:numPr>
              <w:rPr>
                <w:rFonts w:hint="default" w:ascii="仿宋_GB2312" w:hAnsi="仿宋_GB2312" w:eastAsia="仿宋_GB2312" w:cs="仿宋_GB2312"/>
                <w:sz w:val="28"/>
                <w:szCs w:val="28"/>
                <w:vertAlign w:val="baseline"/>
                <w:lang w:val="en-US" w:eastAsia="zh-CN"/>
              </w:rPr>
            </w:pPr>
          </w:p>
        </w:tc>
        <w:tc>
          <w:tcPr>
            <w:tcW w:w="1581"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8"/>
                <w:szCs w:val="28"/>
                <w:vertAlign w:val="baseline"/>
                <w:lang w:val="en-US" w:eastAsia="zh-CN"/>
              </w:rPr>
              <w:t>小计</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90</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47.16</w:t>
            </w:r>
          </w:p>
        </w:tc>
        <w:tc>
          <w:tcPr>
            <w:tcW w:w="13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137.16</w:t>
            </w:r>
          </w:p>
        </w:tc>
        <w:tc>
          <w:tcPr>
            <w:tcW w:w="100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93.16</w:t>
            </w:r>
          </w:p>
        </w:tc>
        <w:tc>
          <w:tcPr>
            <w:tcW w:w="87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840" w:type="dxa"/>
            <w:vMerge w:val="restart"/>
          </w:tcPr>
          <w:p>
            <w:pPr>
              <w:numPr>
                <w:ilvl w:val="0"/>
                <w:numId w:val="0"/>
              </w:num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项目支出</w:t>
            </w:r>
          </w:p>
        </w:tc>
        <w:tc>
          <w:tcPr>
            <w:tcW w:w="1581"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基本建设类</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1500</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w:t>
            </w:r>
          </w:p>
        </w:tc>
        <w:tc>
          <w:tcPr>
            <w:tcW w:w="13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3500</w:t>
            </w:r>
          </w:p>
        </w:tc>
        <w:tc>
          <w:tcPr>
            <w:tcW w:w="100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618.18</w:t>
            </w:r>
          </w:p>
        </w:tc>
        <w:tc>
          <w:tcPr>
            <w:tcW w:w="87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840" w:type="dxa"/>
            <w:vMerge w:val="continue"/>
          </w:tcPr>
          <w:p>
            <w:pPr>
              <w:numPr>
                <w:ilvl w:val="0"/>
                <w:numId w:val="0"/>
              </w:numPr>
              <w:rPr>
                <w:rFonts w:hint="default" w:ascii="仿宋_GB2312" w:hAnsi="仿宋_GB2312" w:eastAsia="仿宋_GB2312" w:cs="仿宋_GB2312"/>
                <w:sz w:val="28"/>
                <w:szCs w:val="28"/>
                <w:vertAlign w:val="baseline"/>
                <w:lang w:val="en-US" w:eastAsia="zh-CN"/>
              </w:rPr>
            </w:pPr>
          </w:p>
        </w:tc>
        <w:tc>
          <w:tcPr>
            <w:tcW w:w="1581"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行政事业类</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159.05</w:t>
            </w:r>
          </w:p>
        </w:tc>
        <w:tc>
          <w:tcPr>
            <w:tcW w:w="13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159.05</w:t>
            </w:r>
          </w:p>
        </w:tc>
        <w:tc>
          <w:tcPr>
            <w:tcW w:w="100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159.05</w:t>
            </w:r>
          </w:p>
        </w:tc>
        <w:tc>
          <w:tcPr>
            <w:tcW w:w="87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840" w:type="dxa"/>
            <w:vMerge w:val="continue"/>
          </w:tcPr>
          <w:p>
            <w:pPr>
              <w:numPr>
                <w:ilvl w:val="0"/>
                <w:numId w:val="0"/>
              </w:numPr>
              <w:rPr>
                <w:rFonts w:hint="default" w:ascii="仿宋_GB2312" w:hAnsi="仿宋_GB2312" w:eastAsia="仿宋_GB2312" w:cs="仿宋_GB2312"/>
                <w:sz w:val="28"/>
                <w:szCs w:val="28"/>
                <w:vertAlign w:val="baseline"/>
                <w:lang w:val="en-US" w:eastAsia="zh-CN"/>
              </w:rPr>
            </w:pPr>
          </w:p>
        </w:tc>
        <w:tc>
          <w:tcPr>
            <w:tcW w:w="158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小计</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1500</w:t>
            </w:r>
          </w:p>
        </w:tc>
        <w:tc>
          <w:tcPr>
            <w:tcW w:w="106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2159.05</w:t>
            </w:r>
          </w:p>
        </w:tc>
        <w:tc>
          <w:tcPr>
            <w:tcW w:w="1314"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3659.05</w:t>
            </w:r>
          </w:p>
        </w:tc>
        <w:tc>
          <w:tcPr>
            <w:tcW w:w="1005"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777.23</w:t>
            </w:r>
          </w:p>
        </w:tc>
        <w:tc>
          <w:tcPr>
            <w:tcW w:w="87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20.47</w:t>
            </w:r>
          </w:p>
        </w:tc>
      </w:tr>
    </w:tbl>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表中可以看出，基本建设类项目支出不够理想，最主要的原因是住院大楼建设严重滞后，施工进度缓慢影响了项目资金的支出，绝大部分项目资金没有使用，被财政收回，没有达到使用财政预算资金绩效的目标。</w:t>
      </w:r>
    </w:p>
    <w:p>
      <w:pPr>
        <w:numPr>
          <w:ilvl w:val="0"/>
          <w:numId w:val="5"/>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财政资金重点支出。由于2019年本院“三公”经费支出无法列入财政年度预算，所以，“三公”经费支出是没有数据的。本院“三公”经费支出是来源于事业收入中“其他经费”中解决列支。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552"/>
        <w:gridCol w:w="882"/>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217"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552"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支出类别</w:t>
            </w:r>
          </w:p>
        </w:tc>
        <w:tc>
          <w:tcPr>
            <w:tcW w:w="882" w:type="dxa"/>
            <w:vMerge w:val="restart"/>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年初预算</w:t>
            </w:r>
          </w:p>
        </w:tc>
        <w:tc>
          <w:tcPr>
            <w:tcW w:w="2435" w:type="dxa"/>
            <w:gridSpan w:val="2"/>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实际支出（决算）</w:t>
            </w:r>
          </w:p>
        </w:tc>
        <w:tc>
          <w:tcPr>
            <w:tcW w:w="2436" w:type="dxa"/>
            <w:gridSpan w:val="2"/>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与上年差异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tcPr>
          <w:p>
            <w:pPr>
              <w:numPr>
                <w:ilvl w:val="0"/>
                <w:numId w:val="0"/>
              </w:numPr>
              <w:rPr>
                <w:rFonts w:hint="default" w:ascii="仿宋_GB2312" w:hAnsi="仿宋_GB2312" w:eastAsia="仿宋_GB2312" w:cs="仿宋_GB2312"/>
                <w:sz w:val="24"/>
                <w:szCs w:val="24"/>
                <w:vertAlign w:val="baseline"/>
                <w:lang w:val="en-US" w:eastAsia="zh-CN"/>
              </w:rPr>
            </w:pPr>
          </w:p>
        </w:tc>
        <w:tc>
          <w:tcPr>
            <w:tcW w:w="1552" w:type="dxa"/>
            <w:vMerge w:val="continue"/>
          </w:tcPr>
          <w:p>
            <w:pPr>
              <w:numPr>
                <w:ilvl w:val="0"/>
                <w:numId w:val="0"/>
              </w:numPr>
              <w:rPr>
                <w:rFonts w:hint="default" w:ascii="仿宋_GB2312" w:hAnsi="仿宋_GB2312" w:eastAsia="仿宋_GB2312" w:cs="仿宋_GB2312"/>
                <w:sz w:val="24"/>
                <w:szCs w:val="24"/>
                <w:vertAlign w:val="baseline"/>
                <w:lang w:val="en-US" w:eastAsia="zh-CN"/>
              </w:rPr>
            </w:pPr>
          </w:p>
        </w:tc>
        <w:tc>
          <w:tcPr>
            <w:tcW w:w="882" w:type="dxa"/>
            <w:vMerge w:val="continue"/>
          </w:tcPr>
          <w:p>
            <w:pPr>
              <w:numPr>
                <w:ilvl w:val="0"/>
                <w:numId w:val="0"/>
              </w:numPr>
              <w:rPr>
                <w:rFonts w:hint="default" w:ascii="仿宋_GB2312" w:hAnsi="仿宋_GB2312" w:eastAsia="仿宋_GB2312" w:cs="仿宋_GB2312"/>
                <w:sz w:val="24"/>
                <w:szCs w:val="24"/>
                <w:vertAlign w:val="baseline"/>
                <w:lang w:val="en-US" w:eastAsia="zh-CN"/>
              </w:rPr>
            </w:pPr>
          </w:p>
        </w:tc>
        <w:tc>
          <w:tcPr>
            <w:tcW w:w="1217"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支出金额</w:t>
            </w:r>
          </w:p>
        </w:tc>
        <w:tc>
          <w:tcPr>
            <w:tcW w:w="121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执行率</w:t>
            </w:r>
          </w:p>
        </w:tc>
        <w:tc>
          <w:tcPr>
            <w:tcW w:w="121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上年支出</w:t>
            </w:r>
          </w:p>
        </w:tc>
        <w:tc>
          <w:tcPr>
            <w:tcW w:w="1218" w:type="dxa"/>
            <w:vAlign w:val="center"/>
          </w:tcPr>
          <w:p>
            <w:pPr>
              <w:numPr>
                <w:ilvl w:val="0"/>
                <w:numId w:val="0"/>
              </w:num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552" w:type="dxa"/>
          </w:tcPr>
          <w:p>
            <w:pPr>
              <w:numPr>
                <w:ilvl w:val="0"/>
                <w:numId w:val="0"/>
              </w:num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合计</w:t>
            </w:r>
          </w:p>
        </w:tc>
        <w:tc>
          <w:tcPr>
            <w:tcW w:w="882"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7"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552"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因公出国境费</w:t>
            </w:r>
          </w:p>
        </w:tc>
        <w:tc>
          <w:tcPr>
            <w:tcW w:w="882"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7"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552"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公务用车运行维护费</w:t>
            </w:r>
          </w:p>
        </w:tc>
        <w:tc>
          <w:tcPr>
            <w:tcW w:w="882"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7"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552" w:type="dxa"/>
            <w:vAlign w:val="center"/>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公务接待费</w:t>
            </w:r>
          </w:p>
        </w:tc>
        <w:tc>
          <w:tcPr>
            <w:tcW w:w="882"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7"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c>
          <w:tcPr>
            <w:tcW w:w="1218" w:type="dxa"/>
          </w:tcPr>
          <w:p>
            <w:pPr>
              <w:numPr>
                <w:ilvl w:val="0"/>
                <w:numId w:val="0"/>
              </w:numPr>
              <w:rPr>
                <w:rFonts w:hint="default" w:ascii="仿宋_GB2312" w:hAnsi="仿宋_GB2312" w:eastAsia="仿宋_GB2312" w:cs="仿宋_GB2312"/>
                <w:sz w:val="28"/>
                <w:szCs w:val="28"/>
                <w:vertAlign w:val="baseline"/>
                <w:lang w:val="en-US" w:eastAsia="zh-CN"/>
              </w:rPr>
            </w:pPr>
          </w:p>
        </w:tc>
      </w:tr>
    </w:tbl>
    <w:p>
      <w:pPr>
        <w:numPr>
          <w:ilvl w:val="0"/>
          <w:numId w:val="5"/>
        </w:numPr>
        <w:ind w:left="0" w:leftChars="0" w:firstLine="64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政府采购情况。2019年度本院计划政府采购金额为5605万元，实际支出5503.76万元，总体政府采购执行率为98.19%，其中：货物98.91%、工程97.41%、服务97.58%。</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采购内容</w:t>
            </w:r>
          </w:p>
        </w:tc>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预算金额</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实际采购金额</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采购执行率%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货物</w:t>
            </w:r>
          </w:p>
        </w:tc>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2905.00</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2873.27</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工程</w:t>
            </w:r>
          </w:p>
        </w:tc>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2400.00</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2337.74</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服务</w:t>
            </w:r>
          </w:p>
        </w:tc>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300.00</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292.75</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合计</w:t>
            </w:r>
          </w:p>
        </w:tc>
        <w:tc>
          <w:tcPr>
            <w:tcW w:w="2130"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5605.00</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5503.76</w:t>
            </w:r>
          </w:p>
        </w:tc>
        <w:tc>
          <w:tcPr>
            <w:tcW w:w="2131"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98.19%</w:t>
            </w:r>
          </w:p>
        </w:tc>
      </w:tr>
    </w:tbl>
    <w:p>
      <w:pPr>
        <w:numPr>
          <w:ilvl w:val="0"/>
          <w:numId w:val="6"/>
        </w:numPr>
        <w:ind w:left="64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绩效自评情况</w:t>
      </w:r>
    </w:p>
    <w:p>
      <w:pPr>
        <w:numPr>
          <w:ilvl w:val="0"/>
          <w:numId w:val="7"/>
        </w:numPr>
        <w:ind w:left="640"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自评结论</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根据部门整体支出绩效评价指标体系，本单位2019年和2020年度评价得分为91分（详见附件）。</w:t>
      </w:r>
    </w:p>
    <w:p>
      <w:pPr>
        <w:numPr>
          <w:ilvl w:val="0"/>
          <w:numId w:val="7"/>
        </w:numPr>
        <w:ind w:left="640" w:leftChars="0" w:firstLine="0" w:firstLineChars="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sz w:val="32"/>
          <w:szCs w:val="32"/>
          <w:lang w:val="en-US" w:eastAsia="zh-CN"/>
        </w:rPr>
        <w:t>部门整体支出目标实现程度及使用绩效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根据部门整体支出绩效评价指标体系，本部门整体支出</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按“投入”、“过程”、“产出”和“效益”四部分组成，具体分析如下：</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黑体" w:eastAsia="仿宋_GB2312" w:cs="黑体"/>
          <w:sz w:val="32"/>
          <w:szCs w:val="32"/>
          <w:lang w:val="en-US" w:eastAsia="zh-CN"/>
        </w:rPr>
        <w:t>嘉应学院医学院</w:t>
      </w:r>
      <w:r>
        <w:rPr>
          <w:rFonts w:hint="eastAsia" w:ascii="仿宋_GB2312" w:hAnsi="黑体" w:eastAsia="仿宋_GB2312" w:cs="黑体"/>
          <w:sz w:val="32"/>
          <w:szCs w:val="32"/>
        </w:rPr>
        <w:t>附属医院是由</w:t>
      </w:r>
      <w:r>
        <w:rPr>
          <w:rFonts w:hint="eastAsia" w:ascii="仿宋_GB2312" w:hAnsi="黑体" w:eastAsia="仿宋_GB2312" w:cs="黑体"/>
          <w:sz w:val="32"/>
          <w:szCs w:val="32"/>
          <w:lang w:val="en-US" w:eastAsia="zh-CN"/>
        </w:rPr>
        <w:t>嘉应学院</w:t>
      </w:r>
      <w:r>
        <w:rPr>
          <w:rFonts w:hint="eastAsia" w:ascii="仿宋_GB2312" w:hAnsi="黑体" w:eastAsia="仿宋_GB2312" w:cs="黑体"/>
          <w:sz w:val="32"/>
          <w:szCs w:val="32"/>
        </w:rPr>
        <w:t>医学院单位行为举办、</w:t>
      </w:r>
      <w:r>
        <w:rPr>
          <w:rFonts w:hint="eastAsia" w:ascii="仿宋_GB2312" w:hAnsi="黑体" w:eastAsia="仿宋_GB2312" w:cs="黑体"/>
          <w:sz w:val="32"/>
          <w:szCs w:val="32"/>
          <w:lang w:val="en-US" w:eastAsia="zh-CN"/>
        </w:rPr>
        <w:t>公益二类属性、</w:t>
      </w:r>
      <w:r>
        <w:rPr>
          <w:rFonts w:hint="eastAsia" w:ascii="仿宋_GB2312" w:hAnsi="黑体" w:eastAsia="仿宋_GB2312" w:cs="黑体"/>
          <w:sz w:val="32"/>
          <w:szCs w:val="32"/>
        </w:rPr>
        <w:t>市属公立医院</w:t>
      </w:r>
      <w:r>
        <w:rPr>
          <w:rFonts w:hint="eastAsia" w:ascii="仿宋_GB2312" w:hAnsi="黑体" w:eastAsia="仿宋_GB2312" w:cs="黑体"/>
          <w:sz w:val="32"/>
          <w:szCs w:val="32"/>
          <w:lang w:eastAsia="zh-CN"/>
        </w:rPr>
        <w:t>，</w:t>
      </w:r>
      <w:r>
        <w:rPr>
          <w:rFonts w:hint="eastAsia" w:ascii="仿宋_GB2312" w:hAnsi="仿宋_GB2312" w:eastAsia="仿宋_GB2312" w:cs="仿宋_GB2312"/>
          <w:b w:val="0"/>
          <w:bCs w:val="0"/>
          <w:sz w:val="32"/>
          <w:szCs w:val="32"/>
          <w:lang w:val="en-US" w:eastAsia="zh-CN"/>
        </w:rPr>
        <w:t>是全</w:t>
      </w:r>
      <w:r>
        <w:rPr>
          <w:rFonts w:hint="eastAsia" w:ascii="仿宋_GB2312" w:hAnsi="黑体" w:eastAsia="仿宋_GB2312" w:cs="黑体"/>
          <w:b w:val="0"/>
          <w:bCs w:val="0"/>
          <w:sz w:val="32"/>
          <w:szCs w:val="32"/>
        </w:rPr>
        <w:t>市</w:t>
      </w:r>
      <w:r>
        <w:rPr>
          <w:rFonts w:hint="eastAsia" w:ascii="仿宋_GB2312" w:hAnsi="黑体" w:eastAsia="仿宋_GB2312" w:cs="黑体"/>
          <w:b w:val="0"/>
          <w:bCs w:val="0"/>
          <w:sz w:val="32"/>
          <w:szCs w:val="32"/>
          <w:lang w:val="en-US" w:eastAsia="zh-CN"/>
        </w:rPr>
        <w:t>唯一的、自收自支</w:t>
      </w:r>
      <w:r>
        <w:rPr>
          <w:rFonts w:hint="eastAsia" w:ascii="仿宋_GB2312" w:hAnsi="黑体" w:eastAsia="仿宋_GB2312" w:cs="黑体"/>
          <w:b w:val="0"/>
          <w:bCs w:val="0"/>
          <w:sz w:val="32"/>
          <w:szCs w:val="32"/>
        </w:rPr>
        <w:t>公立</w:t>
      </w:r>
      <w:r>
        <w:rPr>
          <w:rFonts w:hint="eastAsia" w:ascii="仿宋_GB2312" w:hAnsi="黑体" w:eastAsia="仿宋_GB2312" w:cs="黑体"/>
          <w:b w:val="0"/>
          <w:bCs w:val="0"/>
          <w:sz w:val="32"/>
          <w:szCs w:val="32"/>
          <w:lang w:val="en-US" w:eastAsia="zh-CN"/>
        </w:rPr>
        <w:t>非营利综合性</w:t>
      </w:r>
      <w:r>
        <w:rPr>
          <w:rFonts w:hint="eastAsia" w:ascii="仿宋_GB2312" w:hAnsi="黑体" w:eastAsia="仿宋_GB2312" w:cs="黑体"/>
          <w:b w:val="0"/>
          <w:bCs w:val="0"/>
          <w:sz w:val="32"/>
          <w:szCs w:val="32"/>
        </w:rPr>
        <w:t>医院</w:t>
      </w:r>
      <w:r>
        <w:rPr>
          <w:rFonts w:hint="eastAsia" w:ascii="仿宋_GB2312" w:hAnsi="黑体" w:eastAsia="仿宋_GB2312" w:cs="黑体"/>
          <w:b w:val="0"/>
          <w:bCs w:val="0"/>
          <w:sz w:val="32"/>
          <w:szCs w:val="32"/>
          <w:lang w:eastAsia="zh-CN"/>
        </w:rPr>
        <w:t>。</w:t>
      </w:r>
      <w:r>
        <w:rPr>
          <w:rFonts w:hint="eastAsia" w:ascii="仿宋_GB2312" w:hAnsi="黑体" w:eastAsia="仿宋_GB2312" w:cs="黑体"/>
          <w:b w:val="0"/>
          <w:bCs w:val="0"/>
          <w:sz w:val="32"/>
          <w:szCs w:val="32"/>
          <w:lang w:val="en-US" w:eastAsia="zh-CN"/>
        </w:rPr>
        <w:t>每年定额补助40万元经费，医院事业发展主要依靠市财政拨款。</w:t>
      </w:r>
    </w:p>
    <w:p>
      <w:pPr>
        <w:numPr>
          <w:ilvl w:val="0"/>
          <w:numId w:val="8"/>
        </w:numPr>
        <w:ind w:left="640" w:leftChars="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投入</w:t>
      </w:r>
      <w:r>
        <w:rPr>
          <w:rFonts w:hint="eastAsia" w:ascii="仿宋_GB2312" w:hAnsi="仿宋_GB2312" w:eastAsia="仿宋_GB2312" w:cs="仿宋_GB2312"/>
          <w:b/>
          <w:bCs/>
          <w:color w:val="000000"/>
          <w:kern w:val="0"/>
          <w:sz w:val="32"/>
          <w:szCs w:val="32"/>
        </w:rPr>
        <w:t>情况。</w:t>
      </w:r>
    </w:p>
    <w:p>
      <w:pPr>
        <w:numPr>
          <w:ilvl w:val="0"/>
          <w:numId w:val="0"/>
        </w:numPr>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黑体" w:eastAsia="仿宋_GB2312" w:cs="黑体"/>
          <w:sz w:val="32"/>
          <w:szCs w:val="32"/>
          <w:lang w:val="en-US" w:eastAsia="zh-CN"/>
        </w:rPr>
        <w:t>嘉应学院医学院</w:t>
      </w:r>
      <w:r>
        <w:rPr>
          <w:rFonts w:hint="eastAsia" w:ascii="仿宋_GB2312" w:hAnsi="黑体" w:eastAsia="仿宋_GB2312" w:cs="黑体"/>
          <w:sz w:val="32"/>
          <w:szCs w:val="32"/>
        </w:rPr>
        <w:t>附属医院</w:t>
      </w:r>
      <w:r>
        <w:rPr>
          <w:rFonts w:hint="eastAsia" w:ascii="仿宋_GB2312" w:hAnsi="黑体" w:eastAsia="仿宋_GB2312" w:cs="黑体"/>
          <w:sz w:val="32"/>
          <w:szCs w:val="32"/>
          <w:lang w:val="en-US" w:eastAsia="zh-CN"/>
        </w:rPr>
        <w:t>2019年和2020年部门预算编制较为合理，预算绩效投入目标较为明确，住院大楼建设及配套设施设备资金落实。从</w:t>
      </w:r>
      <w:r>
        <w:rPr>
          <w:rFonts w:hint="eastAsia" w:ascii="仿宋_GB2312" w:hAnsi="仿宋_GB2312" w:eastAsia="仿宋_GB2312" w:cs="仿宋_GB2312"/>
          <w:b w:val="0"/>
          <w:bCs w:val="0"/>
          <w:color w:val="000000"/>
          <w:kern w:val="0"/>
          <w:sz w:val="32"/>
          <w:szCs w:val="32"/>
          <w:lang w:val="en-US" w:eastAsia="zh-CN"/>
        </w:rPr>
        <w:t>“投入”情况分为“项目立项”（12分）和“资金落实”（8分）一级指标，该二个一级指标满分20分（下设五个二级指标），自评得分20分。</w:t>
      </w:r>
    </w:p>
    <w:p>
      <w:pPr>
        <w:numPr>
          <w:ilvl w:val="0"/>
          <w:numId w:val="9"/>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w:t>
      </w:r>
      <w:r>
        <w:rPr>
          <w:rFonts w:hint="eastAsia" w:ascii="仿宋_GB2312" w:eastAsia="仿宋_GB2312"/>
          <w:sz w:val="32"/>
          <w:szCs w:val="32"/>
          <w:lang w:val="en-US" w:eastAsia="zh-CN"/>
        </w:rPr>
        <w:t>投入</w:t>
      </w:r>
      <w:r>
        <w:rPr>
          <w:rFonts w:hint="eastAsia" w:ascii="仿宋_GB2312" w:eastAsia="仿宋_GB2312"/>
          <w:sz w:val="32"/>
          <w:szCs w:val="32"/>
        </w:rPr>
        <w:t>方面，</w:t>
      </w:r>
      <w:r>
        <w:rPr>
          <w:rFonts w:hint="eastAsia" w:ascii="仿宋_GB2312" w:eastAsia="仿宋_GB2312"/>
          <w:sz w:val="32"/>
          <w:szCs w:val="32"/>
          <w:lang w:eastAsia="zh-CN"/>
        </w:rPr>
        <w:t>“</w:t>
      </w:r>
      <w:r>
        <w:rPr>
          <w:rFonts w:hint="eastAsia" w:ascii="仿宋_GB2312" w:eastAsia="仿宋_GB2312"/>
          <w:sz w:val="32"/>
          <w:szCs w:val="32"/>
          <w:lang w:val="en-US" w:eastAsia="zh-CN"/>
        </w:rPr>
        <w:t>项目立项”</w:t>
      </w:r>
      <w:r>
        <w:rPr>
          <w:rFonts w:hint="eastAsia" w:ascii="仿宋_GB2312" w:eastAsia="仿宋_GB2312"/>
          <w:sz w:val="32"/>
          <w:szCs w:val="32"/>
        </w:rPr>
        <w:t>该项指标</w:t>
      </w:r>
      <w:r>
        <w:rPr>
          <w:rFonts w:hint="eastAsia" w:ascii="仿宋_GB2312" w:eastAsia="仿宋_GB2312"/>
          <w:sz w:val="32"/>
          <w:szCs w:val="32"/>
          <w:lang w:val="en-US" w:eastAsia="zh-CN"/>
        </w:rPr>
        <w:t>满分12分，</w:t>
      </w:r>
      <w:r>
        <w:rPr>
          <w:rFonts w:hint="eastAsia" w:ascii="仿宋_GB2312" w:eastAsia="仿宋_GB2312"/>
          <w:sz w:val="32"/>
          <w:szCs w:val="32"/>
        </w:rPr>
        <w:t>自评分为</w:t>
      </w:r>
      <w:r>
        <w:rPr>
          <w:rFonts w:hint="eastAsia" w:ascii="仿宋_GB2312" w:eastAsia="仿宋_GB2312"/>
          <w:sz w:val="32"/>
          <w:szCs w:val="32"/>
          <w:lang w:val="en-US" w:eastAsia="zh-CN"/>
        </w:rPr>
        <w:t>12</w:t>
      </w:r>
      <w:r>
        <w:rPr>
          <w:rFonts w:hint="eastAsia" w:ascii="仿宋_GB2312" w:eastAsia="仿宋_GB2312"/>
          <w:sz w:val="32"/>
          <w:szCs w:val="32"/>
        </w:rPr>
        <w:t>分。</w:t>
      </w:r>
      <w:r>
        <w:rPr>
          <w:rFonts w:hint="eastAsia" w:ascii="仿宋_GB2312" w:eastAsia="仿宋_GB2312"/>
          <w:b/>
          <w:bCs/>
          <w:sz w:val="32"/>
          <w:szCs w:val="32"/>
        </w:rPr>
        <w:t>一是</w:t>
      </w:r>
      <w:r>
        <w:rPr>
          <w:rFonts w:hint="eastAsia" w:ascii="仿宋_GB2312" w:eastAsia="仿宋_GB2312"/>
          <w:sz w:val="32"/>
          <w:szCs w:val="32"/>
          <w:lang w:val="en-US" w:eastAsia="zh-CN"/>
        </w:rPr>
        <w:t>论证决策充分、完整、合理和具有可衡量性。</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编撰写有：《</w:t>
      </w:r>
      <w:r>
        <w:rPr>
          <w:rFonts w:hint="eastAsia" w:ascii="仿宋_GB2312" w:hAnsi="黑体" w:eastAsia="仿宋_GB2312" w:cs="黑体"/>
          <w:sz w:val="32"/>
          <w:szCs w:val="32"/>
          <w:lang w:val="en-US" w:eastAsia="zh-CN"/>
        </w:rPr>
        <w:t>嘉应学院医学院</w:t>
      </w:r>
      <w:r>
        <w:rPr>
          <w:rFonts w:hint="eastAsia" w:ascii="仿宋_GB2312" w:hAnsi="黑体" w:eastAsia="仿宋_GB2312" w:cs="黑体"/>
          <w:sz w:val="32"/>
          <w:szCs w:val="32"/>
        </w:rPr>
        <w:t>附属医院</w:t>
      </w:r>
      <w:r>
        <w:rPr>
          <w:rFonts w:hint="eastAsia" w:ascii="仿宋_GB2312" w:hAnsi="黑体" w:eastAsia="仿宋_GB2312" w:cs="黑体"/>
          <w:sz w:val="32"/>
          <w:szCs w:val="32"/>
          <w:lang w:val="en-US" w:eastAsia="zh-CN"/>
        </w:rPr>
        <w:t>住院大楼可行性研究报告》、《嘉应学院医学院</w:t>
      </w:r>
      <w:r>
        <w:rPr>
          <w:rFonts w:hint="eastAsia" w:ascii="仿宋_GB2312" w:hAnsi="黑体" w:eastAsia="仿宋_GB2312" w:cs="黑体"/>
          <w:sz w:val="32"/>
          <w:szCs w:val="32"/>
        </w:rPr>
        <w:t>附属医院</w:t>
      </w:r>
      <w:r>
        <w:rPr>
          <w:rFonts w:hint="eastAsia" w:ascii="仿宋_GB2312" w:hAnsi="黑体" w:eastAsia="仿宋_GB2312" w:cs="黑体"/>
          <w:sz w:val="32"/>
          <w:szCs w:val="32"/>
          <w:lang w:val="en-US" w:eastAsia="zh-CN"/>
        </w:rPr>
        <w:t>住院大楼节能评估报告》和《广东省梅州市嘉应学院医学院</w:t>
      </w:r>
      <w:r>
        <w:rPr>
          <w:rFonts w:hint="eastAsia" w:ascii="仿宋_GB2312" w:hAnsi="黑体" w:eastAsia="仿宋_GB2312" w:cs="黑体"/>
          <w:sz w:val="32"/>
          <w:szCs w:val="32"/>
        </w:rPr>
        <w:t>附属医院</w:t>
      </w:r>
      <w:r>
        <w:rPr>
          <w:rFonts w:hint="eastAsia" w:ascii="仿宋_GB2312" w:hAnsi="黑体" w:eastAsia="仿宋_GB2312" w:cs="黑体"/>
          <w:sz w:val="32"/>
          <w:szCs w:val="32"/>
          <w:lang w:val="en-US" w:eastAsia="zh-CN"/>
        </w:rPr>
        <w:t>2016年地市级医院建设项目》等。</w:t>
      </w:r>
      <w:r>
        <w:rPr>
          <w:rFonts w:hint="eastAsia" w:ascii="仿宋_GB2312" w:hAnsi="黑体" w:eastAsia="仿宋_GB2312" w:cs="黑体"/>
          <w:b/>
          <w:bCs/>
          <w:sz w:val="32"/>
          <w:szCs w:val="32"/>
          <w:lang w:val="en-US" w:eastAsia="zh-CN"/>
        </w:rPr>
        <w:t>三是</w:t>
      </w:r>
      <w:r>
        <w:rPr>
          <w:rFonts w:hint="eastAsia" w:ascii="仿宋_GB2312" w:hAnsi="黑体" w:eastAsia="仿宋_GB2312" w:cs="黑体"/>
          <w:sz w:val="32"/>
          <w:szCs w:val="32"/>
          <w:lang w:val="en-US" w:eastAsia="zh-CN"/>
        </w:rPr>
        <w:t>制订了相关的内部控制管理制度等。</w:t>
      </w:r>
    </w:p>
    <w:p>
      <w:pPr>
        <w:numPr>
          <w:ilvl w:val="0"/>
          <w:numId w:val="9"/>
        </w:numPr>
        <w:spacing w:line="560" w:lineRule="exact"/>
        <w:ind w:firstLine="640" w:firstLineChars="200"/>
        <w:rPr>
          <w:rFonts w:ascii="仿宋_GB2312" w:eastAsia="仿宋_GB2312"/>
          <w:sz w:val="32"/>
          <w:szCs w:val="32"/>
        </w:rPr>
      </w:pPr>
      <w:r>
        <w:rPr>
          <w:rFonts w:hint="eastAsia" w:ascii="仿宋_GB2312" w:eastAsia="仿宋_GB2312"/>
          <w:sz w:val="32"/>
          <w:szCs w:val="32"/>
        </w:rPr>
        <w:t>在</w:t>
      </w:r>
      <w:r>
        <w:rPr>
          <w:rFonts w:hint="eastAsia" w:ascii="仿宋_GB2312" w:eastAsia="仿宋_GB2312"/>
          <w:sz w:val="32"/>
          <w:szCs w:val="32"/>
          <w:lang w:val="en-US" w:eastAsia="zh-CN"/>
        </w:rPr>
        <w:t>投入</w:t>
      </w:r>
      <w:r>
        <w:rPr>
          <w:rFonts w:hint="eastAsia" w:ascii="仿宋_GB2312" w:eastAsia="仿宋_GB2312"/>
          <w:sz w:val="32"/>
          <w:szCs w:val="32"/>
        </w:rPr>
        <w:t>方面，</w:t>
      </w:r>
      <w:r>
        <w:rPr>
          <w:rFonts w:hint="eastAsia" w:ascii="仿宋_GB2312" w:eastAsia="仿宋_GB2312"/>
          <w:sz w:val="32"/>
          <w:szCs w:val="32"/>
          <w:lang w:eastAsia="zh-CN"/>
        </w:rPr>
        <w:t>“</w:t>
      </w:r>
      <w:r>
        <w:rPr>
          <w:rFonts w:hint="eastAsia" w:ascii="仿宋_GB2312" w:eastAsia="仿宋_GB2312"/>
          <w:sz w:val="32"/>
          <w:szCs w:val="32"/>
          <w:lang w:val="en-US" w:eastAsia="zh-CN"/>
        </w:rPr>
        <w:t>资金落实”</w:t>
      </w:r>
      <w:r>
        <w:rPr>
          <w:rFonts w:hint="eastAsia" w:ascii="仿宋_GB2312" w:eastAsia="仿宋_GB2312"/>
          <w:sz w:val="32"/>
          <w:szCs w:val="32"/>
        </w:rPr>
        <w:t>该项指标</w:t>
      </w:r>
      <w:r>
        <w:rPr>
          <w:rFonts w:hint="eastAsia" w:ascii="仿宋_GB2312" w:eastAsia="仿宋_GB2312"/>
          <w:sz w:val="32"/>
          <w:szCs w:val="32"/>
          <w:lang w:val="en-US" w:eastAsia="zh-CN"/>
        </w:rPr>
        <w:t>满分8分，自评分为8分。医院住院大楼建设是一项系统工程，需要巨大的人力、物力和资金投入，按照合法、合规、规范程序进行处置，并且需要一段建设时期，才能取得工程验收和交付使用。医院住院大楼建设主要依据市财政拨款进行。</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市财政局能及时下达资金指标，资金到位及时，资金分配具有合理性。</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市财政局能根据单位用款情况合理调配资金，在规定时间内资金没有使用完成的，只能转调配给更加需要资金的部门使用（即收回资金）。</w:t>
      </w:r>
    </w:p>
    <w:p>
      <w:pPr>
        <w:numPr>
          <w:ilvl w:val="0"/>
          <w:numId w:val="8"/>
        </w:numPr>
        <w:spacing w:line="560" w:lineRule="exact"/>
        <w:ind w:left="640" w:leftChars="0" w:firstLine="0" w:firstLineChars="0"/>
        <w:rPr>
          <w:rFonts w:hint="default" w:ascii="仿宋_GB2312" w:eastAsia="仿宋_GB2312"/>
          <w:b/>
          <w:bCs/>
          <w:sz w:val="32"/>
          <w:szCs w:val="32"/>
          <w:lang w:val="en-US"/>
        </w:rPr>
      </w:pPr>
      <w:r>
        <w:rPr>
          <w:rFonts w:hint="eastAsia" w:ascii="仿宋_GB2312" w:eastAsia="仿宋_GB2312"/>
          <w:b/>
          <w:bCs/>
          <w:sz w:val="32"/>
          <w:szCs w:val="32"/>
          <w:lang w:val="en-US" w:eastAsia="zh-CN"/>
        </w:rPr>
        <w:t>过程情况</w:t>
      </w:r>
    </w:p>
    <w:p>
      <w:pPr>
        <w:numPr>
          <w:ilvl w:val="0"/>
          <w:numId w:val="0"/>
        </w:numPr>
        <w:spacing w:line="560" w:lineRule="exact"/>
        <w:ind w:left="640" w:leftChars="0"/>
        <w:rPr>
          <w:rFonts w:hint="eastAsia" w:ascii="仿宋_GB2312" w:eastAsia="仿宋_GB2312"/>
          <w:sz w:val="32"/>
          <w:szCs w:val="32"/>
          <w:lang w:val="en-US" w:eastAsia="zh-CN"/>
        </w:rPr>
      </w:pPr>
      <w:r>
        <w:rPr>
          <w:rFonts w:hint="eastAsia" w:ascii="仿宋_GB2312" w:eastAsia="仿宋_GB2312"/>
          <w:sz w:val="32"/>
          <w:szCs w:val="32"/>
          <w:lang w:val="en-US" w:eastAsia="zh-CN"/>
        </w:rPr>
        <w:t>过程情况分为“资金管理”（12分）和“事项管理”（8</w:t>
      </w:r>
    </w:p>
    <w:p>
      <w:pPr>
        <w:numPr>
          <w:ilvl w:val="0"/>
          <w:numId w:val="0"/>
        </w:numPr>
        <w:spacing w:line="560" w:lineRule="exact"/>
        <w:rPr>
          <w:rFonts w:hint="eastAsia" w:ascii="仿宋_GB2312" w:hAnsi="仿宋_GB2312" w:eastAsia="仿宋_GB2312" w:cs="仿宋_GB2312"/>
          <w:b w:val="0"/>
          <w:bCs w:val="0"/>
          <w:color w:val="000000"/>
          <w:kern w:val="0"/>
          <w:sz w:val="32"/>
          <w:szCs w:val="32"/>
          <w:lang w:val="en-US" w:eastAsia="zh-CN"/>
        </w:rPr>
      </w:pPr>
      <w:r>
        <w:rPr>
          <w:rFonts w:hint="eastAsia" w:ascii="仿宋_GB2312" w:eastAsia="仿宋_GB2312"/>
          <w:sz w:val="32"/>
          <w:szCs w:val="32"/>
          <w:lang w:val="en-US" w:eastAsia="zh-CN"/>
        </w:rPr>
        <w:t>分）</w:t>
      </w:r>
      <w:r>
        <w:rPr>
          <w:rFonts w:hint="eastAsia" w:ascii="仿宋_GB2312" w:hAnsi="仿宋_GB2312" w:eastAsia="仿宋_GB2312" w:cs="仿宋_GB2312"/>
          <w:b w:val="0"/>
          <w:bCs w:val="0"/>
          <w:color w:val="000000"/>
          <w:kern w:val="0"/>
          <w:sz w:val="32"/>
          <w:szCs w:val="32"/>
          <w:lang w:val="en-US" w:eastAsia="zh-CN"/>
        </w:rPr>
        <w:t>一级指标，该二个一级指标满分20分（下设四个二级指标），自评得分16分。</w:t>
      </w:r>
    </w:p>
    <w:p>
      <w:pPr>
        <w:numPr>
          <w:ilvl w:val="0"/>
          <w:numId w:val="10"/>
        </w:numPr>
        <w:spacing w:line="560" w:lineRule="exact"/>
        <w:ind w:left="640" w:leftChars="0" w:firstLine="0" w:firstLineChars="0"/>
        <w:rPr>
          <w:rFonts w:hint="eastAsia" w:ascii="仿宋_GB2312" w:eastAsia="仿宋_GB2312"/>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在过程方面，</w:t>
      </w:r>
      <w:r>
        <w:rPr>
          <w:rFonts w:hint="eastAsia" w:ascii="仿宋_GB2312" w:eastAsia="仿宋_GB2312"/>
          <w:sz w:val="32"/>
          <w:szCs w:val="32"/>
          <w:lang w:val="en-US" w:eastAsia="zh-CN"/>
        </w:rPr>
        <w:t>“资金管理”该项指标满分12分，</w:t>
      </w:r>
    </w:p>
    <w:p>
      <w:pPr>
        <w:numPr>
          <w:ilvl w:val="0"/>
          <w:numId w:val="0"/>
        </w:numPr>
        <w:spacing w:line="56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自评10分。2019年市财政局下拨债券资金2000万元，没有在规定时间内使用完资金。资金支出率为30.91%，按扣分标准计算，扣2分。主要原因是：</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中标建设施工单位自身能力不足，导致本院住院大楼建设进度严重滞后，建设工期已严重滞后36多个月了。</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下达债券资金指标时间较晚，预算执行时间短等原因，导致被市财政局收回资金1381.83万元。</w:t>
      </w:r>
      <w:r>
        <w:rPr>
          <w:rFonts w:hint="eastAsia" w:ascii="仿宋_GB2312" w:eastAsia="仿宋_GB2312"/>
          <w:b/>
          <w:bCs/>
          <w:sz w:val="32"/>
          <w:szCs w:val="32"/>
          <w:lang w:val="en-US" w:eastAsia="zh-CN"/>
        </w:rPr>
        <w:t>三是</w:t>
      </w:r>
      <w:r>
        <w:rPr>
          <w:rFonts w:hint="eastAsia" w:ascii="仿宋_GB2312" w:eastAsia="仿宋_GB2312"/>
          <w:sz w:val="32"/>
          <w:szCs w:val="32"/>
          <w:lang w:val="en-US" w:eastAsia="zh-CN"/>
        </w:rPr>
        <w:t>2020年市财政局下拨债券资金3000万元，在规定时间内使用完资金，资金支出率为100%。两年合计资金支出率为72.36%。</w:t>
      </w:r>
    </w:p>
    <w:p>
      <w:pPr>
        <w:numPr>
          <w:ilvl w:val="0"/>
          <w:numId w:val="10"/>
        </w:numPr>
        <w:spacing w:line="560" w:lineRule="exact"/>
        <w:ind w:left="640" w:leftChars="0" w:firstLine="0" w:firstLineChars="0"/>
        <w:rPr>
          <w:rFonts w:hint="default" w:ascii="仿宋_GB2312" w:eastAsia="仿宋_GB2312"/>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在过程方面，“事项管理”</w:t>
      </w:r>
      <w:r>
        <w:rPr>
          <w:rFonts w:hint="eastAsia" w:ascii="仿宋_GB2312" w:eastAsia="仿宋_GB2312"/>
          <w:sz w:val="32"/>
          <w:szCs w:val="32"/>
          <w:lang w:val="en-US" w:eastAsia="zh-CN"/>
        </w:rPr>
        <w:t>该项指标满分8分，</w:t>
      </w:r>
    </w:p>
    <w:p>
      <w:pPr>
        <w:numPr>
          <w:ilvl w:val="0"/>
          <w:numId w:val="0"/>
        </w:num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自评6分。债券资金均由市财政局经建科国库集中支付，具有程序的规范性，支出监管具实时的有效性。项目或方案按规定程序实施,包括项目或方案调整按规定履行报批手续，项目招投标、建设、验收、方案实施严格执行相关规定的制度进行。但存在工程建设进度慢的情况，主要是工程承包方造成的原因，市代建管理中心属于工程发包方，附属医院是业主方等管理方式有待提高方面的问题，扣2分。</w:t>
      </w:r>
    </w:p>
    <w:p>
      <w:pPr>
        <w:numPr>
          <w:ilvl w:val="0"/>
          <w:numId w:val="8"/>
        </w:numPr>
        <w:spacing w:line="560" w:lineRule="exact"/>
        <w:ind w:left="640" w:leftChars="0" w:firstLine="0" w:firstLineChars="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产出情况</w:t>
      </w:r>
    </w:p>
    <w:p>
      <w:pPr>
        <w:numPr>
          <w:ilvl w:val="0"/>
          <w:numId w:val="0"/>
        </w:numPr>
        <w:spacing w:line="560" w:lineRule="exact"/>
        <w:ind w:left="640" w:leftChars="0"/>
        <w:rPr>
          <w:rFonts w:hint="eastAsia" w:ascii="仿宋_GB2312" w:eastAsia="仿宋_GB2312"/>
          <w:sz w:val="32"/>
          <w:szCs w:val="32"/>
          <w:lang w:val="en-US" w:eastAsia="zh-CN"/>
        </w:rPr>
      </w:pPr>
      <w:r>
        <w:rPr>
          <w:rFonts w:hint="eastAsia" w:ascii="仿宋_GB2312" w:eastAsia="仿宋_GB2312"/>
          <w:sz w:val="32"/>
          <w:szCs w:val="32"/>
          <w:lang w:val="en-US" w:eastAsia="zh-CN"/>
        </w:rPr>
        <w:t>产出情况分为“经济性”（5分）和“效率性”（25分）</w:t>
      </w:r>
    </w:p>
    <w:p>
      <w:pPr>
        <w:numPr>
          <w:ilvl w:val="0"/>
          <w:numId w:val="0"/>
        </w:numPr>
        <w:spacing w:line="560" w:lineRule="exact"/>
        <w:rPr>
          <w:rFonts w:hint="eastAsia" w:ascii="仿宋_GB2312" w:hAnsi="仿宋_GB2312" w:eastAsia="仿宋_GB2312" w:cs="仿宋_GB2312"/>
          <w:b w:val="0"/>
          <w:bCs w:val="0"/>
          <w:color w:val="000000"/>
          <w:kern w:val="0"/>
          <w:sz w:val="32"/>
          <w:szCs w:val="32"/>
          <w:lang w:val="en-US" w:eastAsia="zh-CN"/>
        </w:rPr>
      </w:pPr>
      <w:r>
        <w:rPr>
          <w:rFonts w:hint="eastAsia" w:ascii="仿宋_GB2312" w:eastAsia="仿宋_GB2312"/>
          <w:sz w:val="32"/>
          <w:szCs w:val="32"/>
          <w:lang w:val="en-US" w:eastAsia="zh-CN"/>
        </w:rPr>
        <w:t>一级指标，</w:t>
      </w:r>
      <w:r>
        <w:rPr>
          <w:rFonts w:hint="eastAsia" w:ascii="仿宋_GB2312" w:hAnsi="仿宋_GB2312" w:eastAsia="仿宋_GB2312" w:cs="仿宋_GB2312"/>
          <w:b w:val="0"/>
          <w:bCs w:val="0"/>
          <w:color w:val="000000"/>
          <w:kern w:val="0"/>
          <w:sz w:val="32"/>
          <w:szCs w:val="32"/>
          <w:lang w:val="en-US" w:eastAsia="zh-CN"/>
        </w:rPr>
        <w:t>该二个一级指标满分30分（下设四个二级指标），自评得分28分。</w:t>
      </w:r>
    </w:p>
    <w:p>
      <w:pPr>
        <w:numPr>
          <w:ilvl w:val="0"/>
          <w:numId w:val="0"/>
        </w:numPr>
        <w:spacing w:line="560" w:lineRule="exact"/>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 xml:space="preserve">    （1）在产出方面，“经济性”该项指标由“预算控制”和“成本控制”二个三级指标构成，满分5分，自评4分。由于是承包施工方工程严重滞后的原因，预算控制目标实现一般，主要原因是债券资金未能及时使用完成，被市财政局收回，扣1分。</w:t>
      </w:r>
    </w:p>
    <w:p>
      <w:pPr>
        <w:numPr>
          <w:ilvl w:val="0"/>
          <w:numId w:val="0"/>
        </w:numPr>
        <w:spacing w:line="56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hAnsi="仿宋_GB2312" w:eastAsia="仿宋_GB2312" w:cs="仿宋_GB2312"/>
          <w:b w:val="0"/>
          <w:bCs w:val="0"/>
          <w:color w:val="000000"/>
          <w:kern w:val="0"/>
          <w:sz w:val="32"/>
          <w:szCs w:val="32"/>
          <w:lang w:val="en-US" w:eastAsia="zh-CN"/>
        </w:rPr>
        <w:t>在产出方面，</w:t>
      </w:r>
      <w:r>
        <w:rPr>
          <w:rFonts w:hint="eastAsia" w:ascii="仿宋_GB2312" w:eastAsia="仿宋_GB2312"/>
          <w:sz w:val="32"/>
          <w:szCs w:val="32"/>
          <w:lang w:val="en-US" w:eastAsia="zh-CN"/>
        </w:rPr>
        <w:t>“效率性”一级指标由“完成进度”和“完成质量”二个二级指标构成，满分25分，自评24分。截止到2020年底住院大楼完成工程量形象进度99%，未能及时竣工验收和交付使用。由于承包施工方工程严重滞后的原因，导致无法进行二次装修进场，效率性目标实现一般，扣1分。</w:t>
      </w:r>
    </w:p>
    <w:p>
      <w:pPr>
        <w:numPr>
          <w:ilvl w:val="0"/>
          <w:numId w:val="0"/>
        </w:numPr>
        <w:spacing w:line="560" w:lineRule="exact"/>
        <w:ind w:firstLine="640"/>
        <w:rPr>
          <w:rFonts w:hint="eastAsia" w:ascii="仿宋_GB2312" w:eastAsia="仿宋_GB2312"/>
          <w:b/>
          <w:bCs/>
          <w:sz w:val="32"/>
          <w:szCs w:val="32"/>
          <w:lang w:val="en-US" w:eastAsia="zh-CN"/>
        </w:rPr>
      </w:pPr>
      <w:r>
        <w:rPr>
          <w:rFonts w:hint="eastAsia" w:ascii="仿宋_GB2312" w:eastAsia="仿宋_GB2312"/>
          <w:sz w:val="32"/>
          <w:szCs w:val="32"/>
          <w:lang w:val="en-US" w:eastAsia="zh-CN"/>
        </w:rPr>
        <w:t xml:space="preserve">4. </w:t>
      </w:r>
      <w:r>
        <w:rPr>
          <w:rFonts w:hint="eastAsia" w:ascii="仿宋_GB2312" w:eastAsia="仿宋_GB2312"/>
          <w:b/>
          <w:bCs/>
          <w:sz w:val="32"/>
          <w:szCs w:val="32"/>
          <w:lang w:val="en-US" w:eastAsia="zh-CN"/>
        </w:rPr>
        <w:t>效益情况</w:t>
      </w:r>
    </w:p>
    <w:p>
      <w:pPr>
        <w:numPr>
          <w:ilvl w:val="0"/>
          <w:numId w:val="0"/>
        </w:numPr>
        <w:spacing w:line="560" w:lineRule="exact"/>
        <w:ind w:firstLine="640" w:firstLineChars="200"/>
        <w:rPr>
          <w:rFonts w:hint="eastAsia" w:ascii="仿宋_GB2312" w:hAnsi="仿宋_GB2312" w:eastAsia="仿宋_GB2312" w:cs="仿宋_GB2312"/>
          <w:b w:val="0"/>
          <w:bCs w:val="0"/>
          <w:color w:val="000000"/>
          <w:kern w:val="0"/>
          <w:sz w:val="32"/>
          <w:szCs w:val="32"/>
          <w:lang w:val="en-US" w:eastAsia="zh-CN"/>
        </w:rPr>
      </w:pPr>
      <w:r>
        <w:rPr>
          <w:rFonts w:hint="eastAsia" w:ascii="仿宋_GB2312" w:eastAsia="仿宋_GB2312"/>
          <w:sz w:val="32"/>
          <w:szCs w:val="32"/>
          <w:lang w:val="en-US" w:eastAsia="zh-CN"/>
        </w:rPr>
        <w:t>效益情况分为“效果性”（25分）和“公平性”（5分）一级指标，该二个一级</w:t>
      </w:r>
      <w:r>
        <w:rPr>
          <w:rFonts w:hint="eastAsia" w:ascii="仿宋_GB2312" w:hAnsi="仿宋_GB2312" w:eastAsia="仿宋_GB2312" w:cs="仿宋_GB2312"/>
          <w:b w:val="0"/>
          <w:bCs w:val="0"/>
          <w:color w:val="000000"/>
          <w:kern w:val="0"/>
          <w:sz w:val="32"/>
          <w:szCs w:val="32"/>
          <w:lang w:val="en-US" w:eastAsia="zh-CN"/>
        </w:rPr>
        <w:t>指标满分30分（下设五个二级指标），自评得分27分。</w:t>
      </w:r>
    </w:p>
    <w:p>
      <w:pPr>
        <w:numPr>
          <w:ilvl w:val="0"/>
          <w:numId w:val="11"/>
        </w:numPr>
        <w:spacing w:line="56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在效益方面，“效果性”指标由经济效益、社会效益、生态效益和可持续发展四个二级指标构成。截止到2020年底住院大楼完成工程量形象进度99%，由于承包施工方工程严重滞后的原因，导致无法竣工验收，也无法进行二次装修进场，搬迁无从谈起，效果性目标实现一般，扣1分。</w:t>
      </w:r>
    </w:p>
    <w:p>
      <w:pPr>
        <w:numPr>
          <w:ilvl w:val="0"/>
          <w:numId w:val="11"/>
        </w:numPr>
        <w:spacing w:line="560" w:lineRule="exact"/>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在效益方面，“公平性”指标由服务对象满意度构成。由于住院大楼完成工程量形象进度99%，仍未搬迁投入使用，扣2分。</w:t>
      </w:r>
    </w:p>
    <w:p>
      <w:pPr>
        <w:numPr>
          <w:ilvl w:val="0"/>
          <w:numId w:val="7"/>
        </w:numPr>
        <w:spacing w:line="560" w:lineRule="exact"/>
        <w:ind w:left="640" w:leftChars="0" w:firstLine="0" w:firstLineChars="0"/>
        <w:rPr>
          <w:rFonts w:hint="default"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 xml:space="preserve"> 部门整体绩效支出管理措施及成效</w:t>
      </w:r>
    </w:p>
    <w:p>
      <w:pPr>
        <w:numPr>
          <w:ilvl w:val="0"/>
          <w:numId w:val="12"/>
        </w:numPr>
        <w:spacing w:line="560" w:lineRule="exact"/>
        <w:ind w:firstLine="643" w:firstLineChars="200"/>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lang w:val="en-US" w:eastAsia="zh-CN"/>
        </w:rPr>
        <w:t>在抓好</w:t>
      </w:r>
      <w:r>
        <w:rPr>
          <w:rFonts w:hint="eastAsia" w:ascii="仿宋_GB2312" w:hAnsi="仿宋_GB2312" w:eastAsia="仿宋_GB2312" w:cs="仿宋_GB2312"/>
          <w:b/>
          <w:bCs/>
          <w:sz w:val="32"/>
          <w:szCs w:val="32"/>
          <w:shd w:val="clear" w:color="auto" w:fill="FFFFFF"/>
        </w:rPr>
        <w:t>医院内部管理</w:t>
      </w:r>
      <w:r>
        <w:rPr>
          <w:rFonts w:hint="eastAsia" w:ascii="仿宋_GB2312" w:hAnsi="仿宋_GB2312" w:eastAsia="仿宋_GB2312" w:cs="仿宋_GB2312"/>
          <w:b/>
          <w:bCs/>
          <w:sz w:val="32"/>
          <w:szCs w:val="32"/>
          <w:shd w:val="clear" w:color="auto" w:fill="FFFFFF"/>
          <w:lang w:val="en-US" w:eastAsia="zh-CN"/>
        </w:rPr>
        <w:t>方面</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b/>
          <w:bCs/>
          <w:sz w:val="32"/>
          <w:szCs w:val="32"/>
          <w:shd w:val="clear" w:color="auto" w:fill="FFFFFF"/>
          <w:lang w:val="en-US" w:eastAsia="zh-CN"/>
        </w:rPr>
        <w:t>促进</w:t>
      </w:r>
      <w:r>
        <w:rPr>
          <w:rFonts w:hint="eastAsia" w:ascii="仿宋_GB2312" w:hAnsi="仿宋_GB2312" w:eastAsia="仿宋_GB2312" w:cs="仿宋_GB2312"/>
          <w:b/>
          <w:bCs/>
          <w:sz w:val="32"/>
          <w:szCs w:val="32"/>
          <w:shd w:val="clear" w:color="auto" w:fill="FFFFFF"/>
        </w:rPr>
        <w:t>医院管理效能提升</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规范权力运行。修订完善了院长办公会议和党总支委会议议事决策规则，明确各自决策的具体事项和范围、程序和要求等内容，严格按照议事规则召开院长办公会、党总支委会议等，严格执行民主集中制，坚持“三重一大”事项集体决策，确保权力的正确行使。</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规范职称聘任。制定并下发了“卫生专业技术职务评聘管理办法”，规范职称评聘管理工作，逐步纠正医院目前“倒金字塔”的人才结构，实现医院卫生专业人才的合理配置、促进医院健康发展。</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完善绩效考核分配。以巡察整改为契机，修订完善了医院“绩效考核与分配方案”，以有效发挥绩效考核在收入分配中的杠杆调节作用，激发全院职工工作积极性和创造性，促进医院良性发展。</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完善招标采购流程。修订完善了医疗设备、医用耗材、物资采购及基建维修流程，各方层层把关，将监督落到实处，确保了医疗物资采购、基建维修公开、公平、公正、高效。同时，逐步推动全院耗材试剂遴选工作，规范耗材试剂配送工作、提高配送效率、保障配送质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狠抓考勤纪律。修订完善了《劳动纪律及考勤管理规定》，设立全勤奖，不定期抽查干部职工在上班时间到岗和实际工作情况，进一步加强考勤管理，严格上班纪律，强化作风建设。</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狠抓医保控费、医改达标。</w:t>
      </w:r>
      <w:r>
        <w:rPr>
          <w:rFonts w:hint="eastAsia" w:ascii="仿宋_GB2312" w:hAnsi="仿宋_GB2312" w:eastAsia="仿宋_GB2312" w:cs="仿宋_GB2312"/>
          <w:sz w:val="32"/>
          <w:szCs w:val="32"/>
        </w:rPr>
        <w:t>设立了独立的医保办公室，专人负责重点抓医保业务工作；</w:t>
      </w:r>
      <w:r>
        <w:rPr>
          <w:rFonts w:hint="eastAsia" w:ascii="仿宋_GB2312" w:hAnsi="仿宋_GB2312" w:eastAsia="仿宋_GB2312" w:cs="仿宋_GB2312"/>
          <w:bCs/>
          <w:sz w:val="32"/>
          <w:szCs w:val="32"/>
        </w:rPr>
        <w:t>加强对“按病种分值付费政策”的解读和培训，使全院医务人员充分了解按病种分值付费的内涵，依法依规进行临床诊疗工作；举行《支付制度改革与成本管理》培训，使全院职工将成本管理意识融入到日常工作中，严格控制不合理费用增长；定期到临床住院科室就药品、耗材使用等重点突出问题进行针对性分析并提出个体化指导整改意见，确保各项医改指标达标。</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紧抓住院大楼建设进度。为尽快改善落后的住院环境，提升患者的就医体验，助推医院业务发展，一年来医院、医学院、市代建中心、市住建局等多方通过现场调研、开协调会、发律师函、电话约谈等多种方式不断催促工程施工方全力加快住院大楼建设进度。目前住院大楼主体工程完成约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%、暂估价项目（首层供应室、九层ICU和血透室）预算正在财审，即将施工。</w:t>
      </w:r>
    </w:p>
    <w:p>
      <w:pPr>
        <w:tabs>
          <w:tab w:val="left" w:pos="312"/>
        </w:tabs>
        <w:spacing w:line="560" w:lineRule="exact"/>
        <w:ind w:firstLine="643" w:firstLineChars="200"/>
        <w:rPr>
          <w:rFonts w:hint="eastAsia" w:ascii="仿宋_GB2312" w:hAnsi="仿宋_GB2312" w:eastAsia="仿宋_GB2312" w:cs="仿宋_GB2312"/>
          <w:bCs/>
          <w:sz w:val="32"/>
          <w:szCs w:val="32"/>
          <w:shd w:val="clear" w:color="auto" w:fill="FFFFFF"/>
        </w:rPr>
      </w:pPr>
      <w:r>
        <w:rPr>
          <w:rFonts w:hint="eastAsia" w:ascii="仿宋" w:hAnsi="仿宋" w:eastAsia="仿宋" w:cs="仿宋"/>
          <w:b/>
          <w:sz w:val="32"/>
          <w:szCs w:val="32"/>
          <w:lang w:val="en-US" w:eastAsia="zh-CN"/>
        </w:rPr>
        <w:t>2. 在推进</w:t>
      </w:r>
      <w:r>
        <w:rPr>
          <w:rFonts w:hint="eastAsia" w:ascii="仿宋_GB2312" w:hAnsi="仿宋_GB2312" w:eastAsia="仿宋_GB2312" w:cs="仿宋_GB2312"/>
          <w:b/>
          <w:sz w:val="32"/>
          <w:szCs w:val="32"/>
        </w:rPr>
        <w:t>医疗业务内涵建设</w:t>
      </w:r>
      <w:r>
        <w:rPr>
          <w:rFonts w:hint="eastAsia" w:ascii="仿宋_GB2312" w:hAnsi="仿宋_GB2312" w:eastAsia="仿宋_GB2312" w:cs="仿宋_GB2312"/>
          <w:b/>
          <w:sz w:val="32"/>
          <w:szCs w:val="32"/>
          <w:lang w:val="en-US" w:eastAsia="zh-CN"/>
        </w:rPr>
        <w:t>方面</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力促</w:t>
      </w:r>
      <w:r>
        <w:rPr>
          <w:rFonts w:hint="eastAsia" w:ascii="仿宋_GB2312" w:hAnsi="仿宋_GB2312" w:eastAsia="仿宋_GB2312" w:cs="仿宋_GB2312"/>
          <w:b/>
          <w:sz w:val="32"/>
          <w:szCs w:val="32"/>
        </w:rPr>
        <w:t>医疗服务水平提升</w:t>
      </w:r>
    </w:p>
    <w:p>
      <w:pPr>
        <w:spacing w:line="560" w:lineRule="exact"/>
        <w:ind w:left="420" w:leftChars="200" w:firstLine="320" w:firstLineChars="1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shd w:val="clear" w:color="auto" w:fill="FFFFFF"/>
          <w:lang w:eastAsia="zh-CN"/>
        </w:rPr>
        <w:t>（</w:t>
      </w:r>
      <w:r>
        <w:rPr>
          <w:rFonts w:hint="eastAsia" w:ascii="仿宋_GB2312" w:hAnsi="仿宋_GB2312" w:eastAsia="仿宋_GB2312" w:cs="仿宋_GB2312"/>
          <w:bCs/>
          <w:sz w:val="32"/>
          <w:szCs w:val="32"/>
          <w:shd w:val="clear" w:color="auto" w:fill="FFFFFF"/>
          <w:lang w:val="en-US" w:eastAsia="zh-CN"/>
        </w:rPr>
        <w:t xml:space="preserve">1） </w:t>
      </w:r>
      <w:r>
        <w:rPr>
          <w:rFonts w:hint="eastAsia" w:ascii="仿宋_GB2312" w:hAnsi="仿宋_GB2312" w:eastAsia="仿宋_GB2312" w:cs="仿宋_GB2312"/>
          <w:bCs/>
          <w:sz w:val="32"/>
          <w:szCs w:val="32"/>
          <w:shd w:val="clear" w:color="auto" w:fill="FFFFFF"/>
        </w:rPr>
        <w:t>大力推动专科发展。</w:t>
      </w:r>
      <w:r>
        <w:rPr>
          <w:rFonts w:hint="eastAsia" w:ascii="仿宋_GB2312" w:hAnsi="仿宋_GB2312" w:eastAsia="仿宋_GB2312" w:cs="仿宋_GB2312"/>
          <w:bCs/>
          <w:sz w:val="32"/>
          <w:szCs w:val="32"/>
        </w:rPr>
        <w:t>开展了胸腔镜辅助下单操作</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孔手术，胃肠超声造影检查、二氧化碳点阵激光技术等新技术新项目，不断满足患者对高水平医疗技术的需求；继续开展胸腹腔镜微创治疗食管癌、结直肠癌等手术，血液透析、中医理疗等业务发展良好。</w:t>
      </w:r>
    </w:p>
    <w:p>
      <w:pPr>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rPr>
        <w:t>护理方面，慢性伤口专科护理小组全年收治压疮病人31例，护理效果逐年提高。静脉治疗小组取得省级PICC维护及置管证书，成功PICC置管12例，体现专科护理的能力。</w:t>
      </w:r>
    </w:p>
    <w:p>
      <w:pPr>
        <w:numPr>
          <w:ilvl w:val="0"/>
          <w:numId w:val="13"/>
        </w:numPr>
        <w:spacing w:line="560" w:lineRule="exact"/>
        <w:ind w:left="420" w:leftChars="200" w:firstLine="320" w:firstLineChars="1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持续改进医疗质量。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成立了医院质量与安全管理委员会及相应组织架构，规范医院质量管理体系。组织核心管理制度和医疗法律法规的讲座，增强医务人员的法律意识，提高执行核心管理制度的自觉性。定期组织病历质量、合理用药检查，落实奖惩制度。加强抗生素合理应用的监测和用药指导，抗菌药物的临床应用管理不断规范。开展每月处方点评，每月点评处方医嘱上百张，持续提升医疗服务质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加强护理质量与安全管理，每月不定期到临床科室围绕护理安全、优质护理、五常法、护士职业礼仪、护理文书、满意度等工作执行开展督查并将存在问题分析整改，减少护理相关隐患。对护理核心制度实行PDCA督导检查，提升了护理质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健全制定了院级层面23项重点科室、重点部位、重点环节院感管理制度，规范临床医院感染防控工作。全年医院感染发生率为0.38%，无感染暴发事件发生。</w:t>
      </w:r>
    </w:p>
    <w:p>
      <w:pPr>
        <w:numPr>
          <w:ilvl w:val="0"/>
          <w:numId w:val="0"/>
        </w:num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不断提升医务人员专业素质。修订完善了医务人</w:t>
      </w:r>
    </w:p>
    <w:p>
      <w:pPr>
        <w:numPr>
          <w:ilvl w:val="0"/>
          <w:numId w:val="0"/>
        </w:num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员外出学习、进修制度，选派了9位医护人员到上级医院进修，组织200余人次外出学习交流，开展院内各类学术讲座共20余场次。医护人员业务水平不断提升，在9月进行的全市医疗卫生机构“新基药 粤健康”临床合理用药技能竞赛中荣获团体二等奖，肖媚丽、温正辉、凌波3人分获个人三等奖；李钰凤参加全省“会阴侧切缝合与裂伤修复技能比赛”，获基层优胜奖；陈虹晓参加“梅州市综合病例站点式护理技能竞赛”，获得三等奖。</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有计划购置医疗设备。购置了纤维鼻咽喉内窥镜系统、超高清腹腔镜、彩色超声诊断系统等一批先进设备，一台1.5T核磁共振已进场装机，为增强医院诊疗能力、提升医院市场核心竞争力提供坚实保障。</w:t>
      </w:r>
    </w:p>
    <w:p>
      <w:pPr>
        <w:spacing w:line="560" w:lineRule="exact"/>
        <w:ind w:firstLine="640" w:firstLineChars="200"/>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不断提高教学科研能力。我院始终把教学工作放在重要位置，认真执行各项教学科研任务，持续提升教学质量和科研水平。全年成功</w:t>
      </w:r>
      <w:r>
        <w:rPr>
          <w:rFonts w:hint="eastAsia" w:ascii="仿宋_GB2312" w:hAnsi="仿宋_GB2312" w:eastAsia="仿宋_GB2312" w:cs="仿宋_GB2312"/>
          <w:bCs/>
          <w:sz w:val="32"/>
          <w:szCs w:val="32"/>
          <w:lang w:val="zh-CN"/>
        </w:rPr>
        <w:t>申报市级科研课题</w:t>
      </w:r>
      <w:r>
        <w:rPr>
          <w:rFonts w:hint="eastAsia" w:ascii="仿宋_GB2312" w:hAnsi="仿宋_GB2312" w:eastAsia="仿宋_GB2312" w:cs="仿宋_GB2312"/>
          <w:bCs/>
          <w:sz w:val="32"/>
          <w:szCs w:val="32"/>
        </w:rPr>
        <w:t>7</w:t>
      </w:r>
      <w:r>
        <w:rPr>
          <w:rFonts w:hint="eastAsia" w:ascii="仿宋_GB2312" w:hAnsi="仿宋_GB2312" w:eastAsia="仿宋_GB2312" w:cs="仿宋_GB2312"/>
          <w:bCs/>
          <w:sz w:val="32"/>
          <w:szCs w:val="32"/>
          <w:lang w:val="zh-CN"/>
        </w:rPr>
        <w:t>项，发表省级以上杂志论文</w:t>
      </w:r>
      <w:r>
        <w:rPr>
          <w:rFonts w:hint="eastAsia" w:ascii="仿宋_GB2312" w:hAnsi="仿宋_GB2312" w:eastAsia="仿宋_GB2312" w:cs="仿宋_GB2312"/>
          <w:bCs/>
          <w:sz w:val="32"/>
          <w:szCs w:val="32"/>
        </w:rPr>
        <w:t>23篇</w:t>
      </w: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rPr>
        <w:t>承担</w:t>
      </w:r>
      <w:r>
        <w:rPr>
          <w:rFonts w:hint="eastAsia" w:ascii="仿宋_GB2312" w:hAnsi="仿宋_GB2312" w:eastAsia="仿宋_GB2312" w:cs="仿宋_GB2312"/>
          <w:bCs/>
          <w:sz w:val="32"/>
          <w:szCs w:val="32"/>
          <w:lang w:val="zh-CN"/>
        </w:rPr>
        <w:t>医学院教学任务共</w:t>
      </w:r>
      <w:r>
        <w:rPr>
          <w:rFonts w:hint="eastAsia" w:ascii="仿宋_GB2312" w:hAnsi="仿宋_GB2312" w:eastAsia="仿宋_GB2312" w:cs="仿宋_GB2312"/>
          <w:bCs/>
          <w:sz w:val="32"/>
          <w:szCs w:val="32"/>
          <w:lang w:val="en-US" w:eastAsia="zh-CN"/>
        </w:rPr>
        <w:t>11449</w:t>
      </w:r>
      <w:r>
        <w:rPr>
          <w:rFonts w:hint="eastAsia" w:ascii="仿宋_GB2312" w:hAnsi="仿宋_GB2312" w:eastAsia="仿宋_GB2312" w:cs="仿宋_GB2312"/>
          <w:bCs/>
          <w:sz w:val="32"/>
          <w:szCs w:val="32"/>
          <w:lang w:val="zh-CN"/>
        </w:rPr>
        <w:t>节课时，接收医学院实习生</w:t>
      </w:r>
      <w:r>
        <w:rPr>
          <w:rFonts w:hint="eastAsia" w:ascii="仿宋_GB2312" w:hAnsi="仿宋_GB2312" w:eastAsia="仿宋_GB2312" w:cs="仿宋_GB2312"/>
          <w:bCs/>
          <w:sz w:val="32"/>
          <w:szCs w:val="32"/>
          <w:lang w:val="en-US" w:eastAsia="zh-CN"/>
        </w:rPr>
        <w:t>45</w:t>
      </w:r>
      <w:r>
        <w:rPr>
          <w:rFonts w:hint="eastAsia" w:ascii="仿宋_GB2312" w:hAnsi="仿宋_GB2312" w:eastAsia="仿宋_GB2312" w:cs="仿宋_GB2312"/>
          <w:bCs/>
          <w:sz w:val="32"/>
          <w:szCs w:val="32"/>
          <w:lang w:val="zh-CN"/>
        </w:rPr>
        <w:t>名，</w:t>
      </w:r>
      <w:r>
        <w:rPr>
          <w:rFonts w:hint="eastAsia" w:ascii="仿宋_GB2312" w:hAnsi="仿宋_GB2312" w:eastAsia="仿宋_GB2312" w:cs="仿宋_GB2312"/>
          <w:bCs/>
          <w:sz w:val="32"/>
          <w:szCs w:val="32"/>
          <w:lang w:val="en-US" w:eastAsia="zh-CN"/>
        </w:rPr>
        <w:t>成教实习198人次，</w:t>
      </w:r>
      <w:r>
        <w:rPr>
          <w:rFonts w:hint="eastAsia" w:ascii="仿宋_GB2312" w:hAnsi="仿宋_GB2312" w:eastAsia="仿宋_GB2312" w:cs="仿宋_GB2312"/>
          <w:bCs/>
          <w:sz w:val="32"/>
          <w:szCs w:val="32"/>
          <w:lang w:val="zh-CN"/>
        </w:rPr>
        <w:t>教学工作获得学生和进修生的一致好评</w:t>
      </w:r>
      <w:r>
        <w:rPr>
          <w:rFonts w:hint="eastAsia" w:ascii="仿宋_GB2312" w:hAnsi="仿宋_GB2312" w:eastAsia="仿宋_GB2312" w:cs="仿宋_GB2312"/>
          <w:bCs/>
          <w:sz w:val="32"/>
          <w:szCs w:val="32"/>
        </w:rPr>
        <w:t>。此外，在医学院颁发的“邓振龙奖教金”系列奖项中，刘竹英获“科研贡献奖”二等奖，谢章辉获“教书育人乐教奖”，董建新获“优秀教学管理奖”</w:t>
      </w:r>
      <w:r>
        <w:rPr>
          <w:rFonts w:hint="eastAsia" w:ascii="仿宋_GB2312" w:hAnsi="仿宋_GB2312" w:eastAsia="仿宋_GB2312" w:cs="仿宋_GB2312"/>
          <w:bCs/>
          <w:sz w:val="32"/>
          <w:szCs w:val="32"/>
          <w:lang w:val="zh-CN"/>
        </w:rPr>
        <w:t>。刘汉云</w:t>
      </w:r>
      <w:r>
        <w:rPr>
          <w:rFonts w:hint="eastAsia" w:ascii="仿宋_GB2312" w:hAnsi="仿宋_GB2312" w:eastAsia="仿宋_GB2312" w:cs="仿宋_GB2312"/>
          <w:bCs/>
          <w:sz w:val="32"/>
          <w:szCs w:val="32"/>
        </w:rPr>
        <w:t>同志</w:t>
      </w:r>
      <w:r>
        <w:rPr>
          <w:rFonts w:hint="eastAsia" w:ascii="仿宋_GB2312" w:hAnsi="仿宋_GB2312" w:eastAsia="仿宋_GB2312" w:cs="仿宋_GB2312"/>
          <w:bCs/>
          <w:sz w:val="32"/>
          <w:szCs w:val="32"/>
          <w:lang w:val="zh-CN"/>
        </w:rPr>
        <w:t>被医学院授予“特别贡献奖”荣誉。教学科研能力不断提高，促进医疗水平同步提升。</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lang w:val="zh-CN"/>
        </w:rPr>
        <w:t>不断优化医疗服务流程。</w:t>
      </w:r>
      <w:r>
        <w:rPr>
          <w:rFonts w:hint="eastAsia" w:ascii="仿宋_GB2312" w:hAnsi="仿宋_GB2312" w:eastAsia="仿宋_GB2312" w:cs="仿宋_GB2312"/>
          <w:bCs/>
          <w:sz w:val="32"/>
          <w:szCs w:val="32"/>
        </w:rPr>
        <w:t>改进了门诊病人转住院的繁琐手续，</w:t>
      </w:r>
      <w:r>
        <w:rPr>
          <w:rFonts w:hint="eastAsia" w:ascii="仿宋_GB2312" w:hAnsi="仿宋_GB2312" w:eastAsia="仿宋_GB2312" w:cs="仿宋_GB2312"/>
          <w:bCs/>
          <w:sz w:val="32"/>
          <w:szCs w:val="32"/>
          <w:lang w:val="zh-CN"/>
        </w:rPr>
        <w:t>理顺了道路交通事故社会救助基金经办操作流程和</w:t>
      </w:r>
      <w:r>
        <w:rPr>
          <w:rFonts w:hint="eastAsia" w:ascii="仿宋_GB2312" w:hAnsi="仿宋_GB2312" w:eastAsia="仿宋_GB2312" w:cs="仿宋_GB2312"/>
          <w:bCs/>
          <w:sz w:val="32"/>
          <w:szCs w:val="32"/>
        </w:rPr>
        <w:t>无偿献血者临床用血费用直接减免流程，完成了市内医疗救助一站式结算、省内异地医疗救助一站式结算、</w:t>
      </w:r>
      <w:r>
        <w:rPr>
          <w:rFonts w:hint="eastAsia" w:ascii="仿宋_GB2312" w:hAnsi="仿宋_GB2312" w:eastAsia="仿宋_GB2312" w:cs="仿宋_GB2312"/>
          <w:bCs/>
          <w:sz w:val="32"/>
          <w:szCs w:val="32"/>
          <w:lang w:val="zh-CN"/>
        </w:rPr>
        <w:t>工伤保险协议服务机构联网结算等三个系统</w:t>
      </w:r>
      <w:r>
        <w:rPr>
          <w:rFonts w:hint="eastAsia" w:ascii="仿宋_GB2312" w:hAnsi="仿宋_GB2312" w:eastAsia="仿宋_GB2312" w:cs="仿宋_GB2312"/>
          <w:bCs/>
          <w:sz w:val="32"/>
          <w:szCs w:val="32"/>
        </w:rPr>
        <w:t>接口的改造，极大方便患者就诊，提高了就医满意度。</w:t>
      </w:r>
    </w:p>
    <w:p>
      <w:pPr>
        <w:tabs>
          <w:tab w:val="left" w:pos="312"/>
        </w:tabs>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 全面推进</w:t>
      </w:r>
      <w:r>
        <w:rPr>
          <w:rFonts w:hint="eastAsia" w:ascii="仿宋_GB2312" w:hAnsi="仿宋_GB2312" w:eastAsia="仿宋_GB2312" w:cs="仿宋_GB2312"/>
          <w:b/>
          <w:sz w:val="32"/>
          <w:szCs w:val="32"/>
        </w:rPr>
        <w:t>医院人文建设，</w:t>
      </w:r>
      <w:r>
        <w:rPr>
          <w:rFonts w:hint="eastAsia" w:ascii="仿宋_GB2312" w:hAnsi="仿宋_GB2312" w:eastAsia="仿宋_GB2312" w:cs="仿宋_GB2312"/>
          <w:b/>
          <w:sz w:val="32"/>
          <w:szCs w:val="32"/>
          <w:lang w:val="en-US" w:eastAsia="zh-CN"/>
        </w:rPr>
        <w:t>促进</w:t>
      </w:r>
      <w:r>
        <w:rPr>
          <w:rFonts w:hint="eastAsia" w:ascii="仿宋_GB2312" w:hAnsi="仿宋_GB2312" w:eastAsia="仿宋_GB2312" w:cs="仿宋_GB2312"/>
          <w:b/>
          <w:sz w:val="32"/>
          <w:szCs w:val="32"/>
        </w:rPr>
        <w:t>医院对外形象提升</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2019</w:t>
      </w:r>
      <w:r>
        <w:rPr>
          <w:rFonts w:hint="eastAsia" w:ascii="仿宋_GB2312" w:hAnsi="仿宋_GB2312" w:eastAsia="仿宋_GB2312" w:cs="仿宋_GB2312"/>
          <w:bCs/>
          <w:sz w:val="32"/>
          <w:szCs w:val="32"/>
        </w:rPr>
        <w:t>年共组织医务人员送医送药下乡义诊活动共9次，为当地百姓进行各种常见病体检筛查，义诊总人次2000人次以上，免费提供药品总价值约2万元。同时，我院为群众提供“三八节”两癌筛查、“母亲节”等优惠体检合计500余人次，优惠金额达8万多元。捐赠扶贫爱心款3930元，组织献血32人次。</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院庆活动聚人心。在建院10周年之际，医院开展了“爱我附院与附院共成长”演讲比赛、院训征集、义诊惠民等一系列院庆活动，并最终确立“厚德博学、精医济民”为医院院训，进一步明确了医院的办院理念、价值追求。通过形式多样的院庆活动增加了文化自信、激发了职工对医院的荣誉感、使命感，达到了凝聚人心、增强向心力的作用。2019年，我院刘汉云同志获得了全国“五一劳动奖章”殊荣，李锋医生、吴剑红护士分别被评为“2019年梅州好医生”、“2019年梅州市最美护士”。</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提升服务助创文。2019年是梅州市创建全国文明城市的关键之年，医院以助力创文为契机，大力改善院容院貌，狠抓环境卫生、控烟工作，落实志愿者服务，完善无障碍设施、母婴室设置，提升各窗口部门人员主动服务意识和业务水平，不断改善患者就医体验。</w:t>
      </w:r>
    </w:p>
    <w:p>
      <w:pPr>
        <w:snapToGrid w:val="0"/>
        <w:spacing w:line="5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rPr>
        <w:t>部门整体支出绩效管理存在问题及改进意见</w:t>
      </w:r>
    </w:p>
    <w:p>
      <w:pPr>
        <w:snapToGrid w:val="0"/>
        <w:spacing w:line="50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存在主要的问题是2019年度部分预算项目支出执行率偏低。2019年度债券资金项目支出执行率仅为30.91%，项涉及资金预算1381.83万元，未执行资金1381.83万元。另外还</w:t>
      </w:r>
      <w:bookmarkStart w:id="0" w:name="_GoBack"/>
      <w:bookmarkEnd w:id="0"/>
      <w:r>
        <w:rPr>
          <w:rFonts w:hint="eastAsia" w:ascii="仿宋_GB2312" w:hAnsi="仿宋_GB2312" w:eastAsia="仿宋_GB2312" w:cs="仿宋_GB2312"/>
          <w:b w:val="0"/>
          <w:bCs w:val="0"/>
          <w:sz w:val="32"/>
          <w:szCs w:val="32"/>
          <w:lang w:val="en-US" w:eastAsia="zh-CN"/>
        </w:rPr>
        <w:t>有一个是医疗专用设备购置项目预算资金，支出执行率仅为12.00%，涉及资金预算50万元，未执行资金44万元。</w:t>
      </w:r>
    </w:p>
    <w:p>
      <w:pPr>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下步措施：</w:t>
      </w:r>
    </w:p>
    <w:p>
      <w:pPr>
        <w:numPr>
          <w:ilvl w:val="0"/>
          <w:numId w:val="14"/>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细化预算编制工作，认真做好预算的编制。进一步加强各科室的预算管理意识，严格按照预算编制的相关制度和要求进行预算编制。</w:t>
      </w:r>
    </w:p>
    <w:p>
      <w:pPr>
        <w:numPr>
          <w:ilvl w:val="0"/>
          <w:numId w:val="14"/>
        </w:numPr>
        <w:spacing w:line="560" w:lineRule="exact"/>
        <w:ind w:left="0" w:leftChars="0"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加强财务管理，严格财务审核。加强单位财务管理，健全单位财务管理制度体系，规范单位财务行为。在费用报账支付时，按照预算规定的费用项目和用途进行资金使用审核、列报支付、财务核算，杜绝</w:t>
      </w:r>
      <w:r>
        <w:rPr>
          <w:rFonts w:hint="eastAsia" w:ascii="仿宋_GB2312" w:hAnsi="仿宋_GB2312" w:eastAsia="仿宋_GB2312" w:cs="仿宋_GB2312"/>
          <w:sz w:val="32"/>
          <w:szCs w:val="32"/>
          <w:lang w:val="en-US" w:eastAsia="zh-CN"/>
        </w:rPr>
        <w:t>“钱”等项目建设进度</w:t>
      </w:r>
      <w:r>
        <w:rPr>
          <w:rFonts w:hint="eastAsia" w:ascii="仿宋_GB2312" w:hAnsi="仿宋_GB2312" w:eastAsia="仿宋_GB2312" w:cs="仿宋_GB2312"/>
          <w:b w:val="0"/>
          <w:bCs w:val="0"/>
          <w:sz w:val="32"/>
          <w:szCs w:val="32"/>
          <w:lang w:val="en-US" w:eastAsia="zh-CN"/>
        </w:rPr>
        <w:t>现象的发生。</w:t>
      </w:r>
    </w:p>
    <w:p>
      <w:pPr>
        <w:numPr>
          <w:ilvl w:val="0"/>
          <w:numId w:val="14"/>
        </w:numPr>
        <w:spacing w:line="560" w:lineRule="exact"/>
        <w:ind w:left="0" w:leftChars="0"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对相关人员加强培训，特别是针对《预算法》、《行政事业单位会计制度》等学习培训，规范部门预算收支核算，切实提高部门预算收支管理水平。</w:t>
      </w:r>
    </w:p>
    <w:p>
      <w:pPr>
        <w:spacing w:line="560" w:lineRule="exact"/>
        <w:ind w:firstLine="643"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主要建议</w:t>
      </w:r>
      <w:r>
        <w:rPr>
          <w:rFonts w:hint="eastAsia" w:ascii="仿宋_GB2312" w:hAnsi="仿宋_GB2312" w:eastAsia="仿宋_GB2312" w:cs="仿宋_GB2312"/>
          <w:bCs/>
          <w:sz w:val="32"/>
          <w:szCs w:val="32"/>
          <w:lang w:val="en-US" w:eastAsia="zh-CN"/>
        </w:rPr>
        <w:t>：</w:t>
      </w:r>
    </w:p>
    <w:p>
      <w:pPr>
        <w:numPr>
          <w:ilvl w:val="0"/>
          <w:numId w:val="15"/>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抓好顶层设计，尽快完善附属医院公立医院财政拨款补助的属性，理顺行政管理隶属关系，强化和巩固由政府举办的公立医院性质和地位，使附属医院得到健康可持续发展。</w:t>
      </w:r>
    </w:p>
    <w:p>
      <w:pPr>
        <w:numPr>
          <w:ilvl w:val="0"/>
          <w:numId w:val="15"/>
        </w:num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财政拨款是医院建设的主要资金来源渠道。因为我</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院是公立非营利综合性城市医院，已列入了全省公立医院综合改革的大笼子里，恳请政府加大扶持力度。如果离开财政资金的支持，那么住院大楼建设又将推迟很长的时间才能完成搬迁。争取政府财政资金支持，推动医院的长远发展，造福当地百姓，是我们的主攻方向。</w:t>
      </w:r>
    </w:p>
    <w:p>
      <w:pPr>
        <w:numPr>
          <w:ilvl w:val="0"/>
          <w:numId w:val="15"/>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针对无管辖所属地域、无医联体协作、无接入省卫健委网络远程医疗会诊接口、无大医院帮扶等困境，造成医院整体业务发展受限、生存空间局限的现状，应加快融入大医改政策，推动附属医院健康可持续发展。</w:t>
      </w:r>
    </w:p>
    <w:p>
      <w:pPr>
        <w:numPr>
          <w:ilvl w:val="0"/>
          <w:numId w:val="6"/>
        </w:numPr>
        <w:spacing w:line="560" w:lineRule="exact"/>
        <w:ind w:left="640" w:leftChars="0" w:firstLine="0" w:firstLineChars="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其他自评情况</w:t>
      </w:r>
    </w:p>
    <w:p>
      <w:pPr>
        <w:numPr>
          <w:ilvl w:val="0"/>
          <w:numId w:val="0"/>
        </w:numPr>
        <w:spacing w:line="560" w:lineRule="exact"/>
        <w:ind w:left="640" w:leftChars="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numPr>
          <w:ilvl w:val="0"/>
          <w:numId w:val="0"/>
        </w:numPr>
        <w:spacing w:line="560" w:lineRule="exact"/>
        <w:ind w:left="640" w:leftChars="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嘉应学院医学院附属医院</w:t>
      </w:r>
    </w:p>
    <w:p>
      <w:pPr>
        <w:numPr>
          <w:ilvl w:val="0"/>
          <w:numId w:val="0"/>
        </w:numPr>
        <w:spacing w:line="560" w:lineRule="exact"/>
        <w:ind w:left="640" w:leftChars="0"/>
        <w:rPr>
          <w:rFonts w:hint="default"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                    2020年12月28日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6C2FA"/>
    <w:multiLevelType w:val="singleLevel"/>
    <w:tmpl w:val="8406C2FA"/>
    <w:lvl w:ilvl="0" w:tentative="0">
      <w:start w:val="1"/>
      <w:numFmt w:val="chineseCounting"/>
      <w:suff w:val="nothing"/>
      <w:lvlText w:val="（%1）"/>
      <w:lvlJc w:val="left"/>
      <w:rPr>
        <w:rFonts w:hint="eastAsia"/>
      </w:rPr>
    </w:lvl>
  </w:abstractNum>
  <w:abstractNum w:abstractNumId="1">
    <w:nsid w:val="84949A3B"/>
    <w:multiLevelType w:val="singleLevel"/>
    <w:tmpl w:val="84949A3B"/>
    <w:lvl w:ilvl="0" w:tentative="0">
      <w:start w:val="2"/>
      <w:numFmt w:val="chineseCounting"/>
      <w:suff w:val="nothing"/>
      <w:lvlText w:val="%1、"/>
      <w:lvlJc w:val="left"/>
      <w:pPr>
        <w:ind w:left="640" w:leftChars="0" w:firstLine="0" w:firstLineChars="0"/>
      </w:pPr>
      <w:rPr>
        <w:rFonts w:hint="eastAsia"/>
      </w:rPr>
    </w:lvl>
  </w:abstractNum>
  <w:abstractNum w:abstractNumId="2">
    <w:nsid w:val="88ADA690"/>
    <w:multiLevelType w:val="singleLevel"/>
    <w:tmpl w:val="88ADA690"/>
    <w:lvl w:ilvl="0" w:tentative="0">
      <w:start w:val="1"/>
      <w:numFmt w:val="decimal"/>
      <w:suff w:val="nothing"/>
      <w:lvlText w:val="（%1）"/>
      <w:lvlJc w:val="left"/>
    </w:lvl>
  </w:abstractNum>
  <w:abstractNum w:abstractNumId="3">
    <w:nsid w:val="91D9A43B"/>
    <w:multiLevelType w:val="singleLevel"/>
    <w:tmpl w:val="91D9A43B"/>
    <w:lvl w:ilvl="0" w:tentative="0">
      <w:start w:val="1"/>
      <w:numFmt w:val="decimal"/>
      <w:suff w:val="space"/>
      <w:lvlText w:val="%1."/>
      <w:lvlJc w:val="left"/>
      <w:pPr>
        <w:ind w:left="480" w:leftChars="0" w:firstLine="0" w:firstLineChars="0"/>
      </w:pPr>
    </w:lvl>
  </w:abstractNum>
  <w:abstractNum w:abstractNumId="4">
    <w:nsid w:val="BEDAF379"/>
    <w:multiLevelType w:val="singleLevel"/>
    <w:tmpl w:val="BEDAF379"/>
    <w:lvl w:ilvl="0" w:tentative="0">
      <w:start w:val="1"/>
      <w:numFmt w:val="decimal"/>
      <w:suff w:val="space"/>
      <w:lvlText w:val="%1."/>
      <w:lvlJc w:val="left"/>
    </w:lvl>
  </w:abstractNum>
  <w:abstractNum w:abstractNumId="5">
    <w:nsid w:val="C13F2E2B"/>
    <w:multiLevelType w:val="singleLevel"/>
    <w:tmpl w:val="C13F2E2B"/>
    <w:lvl w:ilvl="0" w:tentative="0">
      <w:start w:val="1"/>
      <w:numFmt w:val="decimal"/>
      <w:suff w:val="space"/>
      <w:lvlText w:val="%1."/>
      <w:lvlJc w:val="left"/>
    </w:lvl>
  </w:abstractNum>
  <w:abstractNum w:abstractNumId="6">
    <w:nsid w:val="C6135C2C"/>
    <w:multiLevelType w:val="singleLevel"/>
    <w:tmpl w:val="C6135C2C"/>
    <w:lvl w:ilvl="0" w:tentative="0">
      <w:start w:val="1"/>
      <w:numFmt w:val="decimal"/>
      <w:suff w:val="space"/>
      <w:lvlText w:val="%1."/>
      <w:lvlJc w:val="left"/>
    </w:lvl>
  </w:abstractNum>
  <w:abstractNum w:abstractNumId="7">
    <w:nsid w:val="C7F56112"/>
    <w:multiLevelType w:val="singleLevel"/>
    <w:tmpl w:val="C7F56112"/>
    <w:lvl w:ilvl="0" w:tentative="0">
      <w:start w:val="2"/>
      <w:numFmt w:val="decimal"/>
      <w:suff w:val="space"/>
      <w:lvlText w:val="%1."/>
      <w:lvlJc w:val="left"/>
    </w:lvl>
  </w:abstractNum>
  <w:abstractNum w:abstractNumId="8">
    <w:nsid w:val="E19F11EC"/>
    <w:multiLevelType w:val="singleLevel"/>
    <w:tmpl w:val="E19F11EC"/>
    <w:lvl w:ilvl="0" w:tentative="0">
      <w:start w:val="1"/>
      <w:numFmt w:val="decimal"/>
      <w:suff w:val="nothing"/>
      <w:lvlText w:val="（%1）"/>
      <w:lvlJc w:val="left"/>
      <w:pPr>
        <w:ind w:left="640" w:leftChars="0" w:firstLine="0" w:firstLineChars="0"/>
      </w:pPr>
    </w:lvl>
  </w:abstractNum>
  <w:abstractNum w:abstractNumId="9">
    <w:nsid w:val="E3EA069A"/>
    <w:multiLevelType w:val="singleLevel"/>
    <w:tmpl w:val="E3EA069A"/>
    <w:lvl w:ilvl="0" w:tentative="0">
      <w:start w:val="1"/>
      <w:numFmt w:val="decimal"/>
      <w:suff w:val="space"/>
      <w:lvlText w:val="%1."/>
      <w:lvlJc w:val="left"/>
    </w:lvl>
  </w:abstractNum>
  <w:abstractNum w:abstractNumId="10">
    <w:nsid w:val="EA632478"/>
    <w:multiLevelType w:val="singleLevel"/>
    <w:tmpl w:val="EA632478"/>
    <w:lvl w:ilvl="0" w:tentative="0">
      <w:start w:val="1"/>
      <w:numFmt w:val="decimal"/>
      <w:suff w:val="space"/>
      <w:lvlText w:val="%1."/>
      <w:lvlJc w:val="left"/>
    </w:lvl>
  </w:abstractNum>
  <w:abstractNum w:abstractNumId="11">
    <w:nsid w:val="0079500D"/>
    <w:multiLevelType w:val="singleLevel"/>
    <w:tmpl w:val="0079500D"/>
    <w:lvl w:ilvl="0" w:tentative="0">
      <w:start w:val="2"/>
      <w:numFmt w:val="decimal"/>
      <w:suff w:val="space"/>
      <w:lvlText w:val="（%1）"/>
      <w:lvlJc w:val="left"/>
    </w:lvl>
  </w:abstractNum>
  <w:abstractNum w:abstractNumId="12">
    <w:nsid w:val="2E0F6FE9"/>
    <w:multiLevelType w:val="singleLevel"/>
    <w:tmpl w:val="2E0F6FE9"/>
    <w:lvl w:ilvl="0" w:tentative="0">
      <w:start w:val="1"/>
      <w:numFmt w:val="chineseCounting"/>
      <w:suff w:val="nothing"/>
      <w:lvlText w:val="（%1）"/>
      <w:lvlJc w:val="left"/>
      <w:rPr>
        <w:rFonts w:hint="eastAsia"/>
      </w:rPr>
    </w:lvl>
  </w:abstractNum>
  <w:abstractNum w:abstractNumId="13">
    <w:nsid w:val="40F9C7FE"/>
    <w:multiLevelType w:val="singleLevel"/>
    <w:tmpl w:val="40F9C7FE"/>
    <w:lvl w:ilvl="0" w:tentative="0">
      <w:start w:val="1"/>
      <w:numFmt w:val="decimal"/>
      <w:suff w:val="space"/>
      <w:lvlText w:val="%1."/>
      <w:lvlJc w:val="left"/>
    </w:lvl>
  </w:abstractNum>
  <w:abstractNum w:abstractNumId="14">
    <w:nsid w:val="7B5139CA"/>
    <w:multiLevelType w:val="singleLevel"/>
    <w:tmpl w:val="7B5139CA"/>
    <w:lvl w:ilvl="0" w:tentative="0">
      <w:start w:val="1"/>
      <w:numFmt w:val="decimal"/>
      <w:suff w:val="nothing"/>
      <w:lvlText w:val="（%1）"/>
      <w:lvlJc w:val="left"/>
    </w:lvl>
  </w:abstractNum>
  <w:num w:numId="1">
    <w:abstractNumId w:val="12"/>
  </w:num>
  <w:num w:numId="2">
    <w:abstractNumId w:val="3"/>
  </w:num>
  <w:num w:numId="3">
    <w:abstractNumId w:val="6"/>
  </w:num>
  <w:num w:numId="4">
    <w:abstractNumId w:val="9"/>
  </w:num>
  <w:num w:numId="5">
    <w:abstractNumId w:val="7"/>
  </w:num>
  <w:num w:numId="6">
    <w:abstractNumId w:val="1"/>
  </w:num>
  <w:num w:numId="7">
    <w:abstractNumId w:val="0"/>
  </w:num>
  <w:num w:numId="8">
    <w:abstractNumId w:val="4"/>
  </w:num>
  <w:num w:numId="9">
    <w:abstractNumId w:val="14"/>
  </w:num>
  <w:num w:numId="10">
    <w:abstractNumId w:val="8"/>
  </w:num>
  <w:num w:numId="11">
    <w:abstractNumId w:val="2"/>
  </w:num>
  <w:num w:numId="12">
    <w:abstractNumId w:val="10"/>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71818"/>
    <w:rsid w:val="00036C8A"/>
    <w:rsid w:val="00DB6E81"/>
    <w:rsid w:val="00F3675D"/>
    <w:rsid w:val="02421D15"/>
    <w:rsid w:val="030D06A9"/>
    <w:rsid w:val="03870ADC"/>
    <w:rsid w:val="04301C8E"/>
    <w:rsid w:val="061624FF"/>
    <w:rsid w:val="06987B4D"/>
    <w:rsid w:val="072A0BF1"/>
    <w:rsid w:val="09B25E68"/>
    <w:rsid w:val="0C0E77C9"/>
    <w:rsid w:val="0C1E3D4B"/>
    <w:rsid w:val="0C2D0B17"/>
    <w:rsid w:val="0C672892"/>
    <w:rsid w:val="0E323F38"/>
    <w:rsid w:val="0E9D6724"/>
    <w:rsid w:val="0EA97BCB"/>
    <w:rsid w:val="0F0E14DE"/>
    <w:rsid w:val="0FCF45D9"/>
    <w:rsid w:val="10AA7344"/>
    <w:rsid w:val="10C55754"/>
    <w:rsid w:val="11377C47"/>
    <w:rsid w:val="114666FC"/>
    <w:rsid w:val="115D4F71"/>
    <w:rsid w:val="11876468"/>
    <w:rsid w:val="121230F8"/>
    <w:rsid w:val="13397CE4"/>
    <w:rsid w:val="133F3995"/>
    <w:rsid w:val="137A77D3"/>
    <w:rsid w:val="138805E4"/>
    <w:rsid w:val="141C4C15"/>
    <w:rsid w:val="14800D58"/>
    <w:rsid w:val="14D73E4C"/>
    <w:rsid w:val="14DB75F2"/>
    <w:rsid w:val="16397157"/>
    <w:rsid w:val="16BD218A"/>
    <w:rsid w:val="17FF5D75"/>
    <w:rsid w:val="18B24C45"/>
    <w:rsid w:val="18CC354E"/>
    <w:rsid w:val="1A2B75C5"/>
    <w:rsid w:val="1A7725C0"/>
    <w:rsid w:val="1AC63E4A"/>
    <w:rsid w:val="1B7372EC"/>
    <w:rsid w:val="1B8159BA"/>
    <w:rsid w:val="1BB7373C"/>
    <w:rsid w:val="1BD9525A"/>
    <w:rsid w:val="1BE93459"/>
    <w:rsid w:val="1C496F0B"/>
    <w:rsid w:val="1CA93C71"/>
    <w:rsid w:val="1D462119"/>
    <w:rsid w:val="1D7E3DDB"/>
    <w:rsid w:val="1EB47BAE"/>
    <w:rsid w:val="1F262383"/>
    <w:rsid w:val="20466034"/>
    <w:rsid w:val="208F5DF6"/>
    <w:rsid w:val="209422BE"/>
    <w:rsid w:val="20AE3FF8"/>
    <w:rsid w:val="20C25D34"/>
    <w:rsid w:val="21DA0BB0"/>
    <w:rsid w:val="21E91C3F"/>
    <w:rsid w:val="22613766"/>
    <w:rsid w:val="22BA700C"/>
    <w:rsid w:val="23EF3184"/>
    <w:rsid w:val="245B6937"/>
    <w:rsid w:val="24A428A1"/>
    <w:rsid w:val="250E1442"/>
    <w:rsid w:val="263B0430"/>
    <w:rsid w:val="26421CE2"/>
    <w:rsid w:val="26467009"/>
    <w:rsid w:val="26760999"/>
    <w:rsid w:val="26F00666"/>
    <w:rsid w:val="27386FFC"/>
    <w:rsid w:val="275206BC"/>
    <w:rsid w:val="27960A03"/>
    <w:rsid w:val="27DE68AB"/>
    <w:rsid w:val="27F328E4"/>
    <w:rsid w:val="28365960"/>
    <w:rsid w:val="292E6246"/>
    <w:rsid w:val="296858E5"/>
    <w:rsid w:val="29E40914"/>
    <w:rsid w:val="2ACF6345"/>
    <w:rsid w:val="2AE325DB"/>
    <w:rsid w:val="2B4E3312"/>
    <w:rsid w:val="2B9051CA"/>
    <w:rsid w:val="2BBA061F"/>
    <w:rsid w:val="2D2E3CA6"/>
    <w:rsid w:val="2D710BCE"/>
    <w:rsid w:val="2DD44C07"/>
    <w:rsid w:val="2E0A29B5"/>
    <w:rsid w:val="2E543DA9"/>
    <w:rsid w:val="2E5F51BB"/>
    <w:rsid w:val="300517AE"/>
    <w:rsid w:val="300812B8"/>
    <w:rsid w:val="30870EE7"/>
    <w:rsid w:val="30F05E08"/>
    <w:rsid w:val="31522D7A"/>
    <w:rsid w:val="31F3681C"/>
    <w:rsid w:val="31F66266"/>
    <w:rsid w:val="32914F1C"/>
    <w:rsid w:val="33126A0B"/>
    <w:rsid w:val="33140920"/>
    <w:rsid w:val="33964AD6"/>
    <w:rsid w:val="33B16845"/>
    <w:rsid w:val="34551C53"/>
    <w:rsid w:val="35720C4A"/>
    <w:rsid w:val="35D5468D"/>
    <w:rsid w:val="35E57089"/>
    <w:rsid w:val="36AE7D38"/>
    <w:rsid w:val="375A7D83"/>
    <w:rsid w:val="37890C39"/>
    <w:rsid w:val="37CE4D9A"/>
    <w:rsid w:val="38CE053A"/>
    <w:rsid w:val="38D8636C"/>
    <w:rsid w:val="39A0565F"/>
    <w:rsid w:val="3C9E5803"/>
    <w:rsid w:val="3D182628"/>
    <w:rsid w:val="3E1772EA"/>
    <w:rsid w:val="3EE30831"/>
    <w:rsid w:val="403911BB"/>
    <w:rsid w:val="43326917"/>
    <w:rsid w:val="44AB2A41"/>
    <w:rsid w:val="451C4549"/>
    <w:rsid w:val="45FA0229"/>
    <w:rsid w:val="46E21CF2"/>
    <w:rsid w:val="481D63D8"/>
    <w:rsid w:val="48AE0B74"/>
    <w:rsid w:val="49892344"/>
    <w:rsid w:val="4AC167BB"/>
    <w:rsid w:val="4BF2592F"/>
    <w:rsid w:val="4C0401BC"/>
    <w:rsid w:val="4C105D1D"/>
    <w:rsid w:val="4DE311C1"/>
    <w:rsid w:val="4FF95F5B"/>
    <w:rsid w:val="50B56067"/>
    <w:rsid w:val="512925C2"/>
    <w:rsid w:val="515B576F"/>
    <w:rsid w:val="518A4175"/>
    <w:rsid w:val="51942478"/>
    <w:rsid w:val="526A727A"/>
    <w:rsid w:val="52B2776F"/>
    <w:rsid w:val="537056D7"/>
    <w:rsid w:val="538F4B1A"/>
    <w:rsid w:val="54DF2576"/>
    <w:rsid w:val="54F21881"/>
    <w:rsid w:val="56600E6A"/>
    <w:rsid w:val="57D52B1E"/>
    <w:rsid w:val="57D577BF"/>
    <w:rsid w:val="58395231"/>
    <w:rsid w:val="585B3F2F"/>
    <w:rsid w:val="589A79CD"/>
    <w:rsid w:val="5A043E1A"/>
    <w:rsid w:val="5AAE499C"/>
    <w:rsid w:val="5AFD507B"/>
    <w:rsid w:val="5C075276"/>
    <w:rsid w:val="5C2001FC"/>
    <w:rsid w:val="5C335199"/>
    <w:rsid w:val="5CC6179A"/>
    <w:rsid w:val="5DF351C9"/>
    <w:rsid w:val="5F31775A"/>
    <w:rsid w:val="5F8139AD"/>
    <w:rsid w:val="604C2916"/>
    <w:rsid w:val="604D3560"/>
    <w:rsid w:val="60C1145A"/>
    <w:rsid w:val="616E7683"/>
    <w:rsid w:val="620B246B"/>
    <w:rsid w:val="62107A56"/>
    <w:rsid w:val="62F71818"/>
    <w:rsid w:val="630A07D1"/>
    <w:rsid w:val="63D55E3B"/>
    <w:rsid w:val="647B1E7C"/>
    <w:rsid w:val="648E0608"/>
    <w:rsid w:val="655F3536"/>
    <w:rsid w:val="65A548DA"/>
    <w:rsid w:val="66863DB7"/>
    <w:rsid w:val="67540D0C"/>
    <w:rsid w:val="67AC6D6C"/>
    <w:rsid w:val="692022A0"/>
    <w:rsid w:val="6AF37DC2"/>
    <w:rsid w:val="6B5D2300"/>
    <w:rsid w:val="6B640B2D"/>
    <w:rsid w:val="6B8F72A7"/>
    <w:rsid w:val="6C0F4417"/>
    <w:rsid w:val="6C64425A"/>
    <w:rsid w:val="6CC37BB8"/>
    <w:rsid w:val="6E6A35F3"/>
    <w:rsid w:val="6E73541C"/>
    <w:rsid w:val="6E843C4C"/>
    <w:rsid w:val="6EDF7CCB"/>
    <w:rsid w:val="6F100A78"/>
    <w:rsid w:val="6FD65B27"/>
    <w:rsid w:val="7002427E"/>
    <w:rsid w:val="703E715B"/>
    <w:rsid w:val="70645F7F"/>
    <w:rsid w:val="707A21EC"/>
    <w:rsid w:val="7090707B"/>
    <w:rsid w:val="709A191B"/>
    <w:rsid w:val="71E30345"/>
    <w:rsid w:val="726C689C"/>
    <w:rsid w:val="7271478A"/>
    <w:rsid w:val="73177D95"/>
    <w:rsid w:val="737A2536"/>
    <w:rsid w:val="74382A7D"/>
    <w:rsid w:val="74892508"/>
    <w:rsid w:val="74E90143"/>
    <w:rsid w:val="75912501"/>
    <w:rsid w:val="75CF2ED4"/>
    <w:rsid w:val="75DA6C41"/>
    <w:rsid w:val="765D298E"/>
    <w:rsid w:val="768A3446"/>
    <w:rsid w:val="76E83A38"/>
    <w:rsid w:val="778F3013"/>
    <w:rsid w:val="77A855B6"/>
    <w:rsid w:val="77FC0D5E"/>
    <w:rsid w:val="781B58CF"/>
    <w:rsid w:val="78287329"/>
    <w:rsid w:val="78CA5F7B"/>
    <w:rsid w:val="79090C20"/>
    <w:rsid w:val="79D162D1"/>
    <w:rsid w:val="7A807EA4"/>
    <w:rsid w:val="7ABD6CBE"/>
    <w:rsid w:val="7AE36859"/>
    <w:rsid w:val="7B686E9F"/>
    <w:rsid w:val="7BA447EC"/>
    <w:rsid w:val="7BA7259C"/>
    <w:rsid w:val="7BBC4F19"/>
    <w:rsid w:val="7CF71B12"/>
    <w:rsid w:val="7D351839"/>
    <w:rsid w:val="7D864094"/>
    <w:rsid w:val="7DC87422"/>
    <w:rsid w:val="7E81031D"/>
    <w:rsid w:val="7E8413CF"/>
    <w:rsid w:val="7F104036"/>
    <w:rsid w:val="7F477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2020-07-20T09:40:00Z</dcterms:created>
  <dc:creator>Administrator</dc:creator>
  <cp:lastModifiedBy>Administrator</cp:lastModifiedBy>
  <cp:lastPrinted>2020-07-24T03:03:00Z</cp:lastPrinted>
  <dcterms:modified xsi:type="dcterms:W3CDTF">2021-01-19T10:24:01Z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