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宋体" w:eastAsiaTheme="minorEastAsia"/>
          <w:b w:val="0"/>
          <w:bCs w:val="0"/>
          <w:sz w:val="24"/>
          <w:szCs w:val="24"/>
          <w:lang w:eastAsia="zh-CN"/>
        </w:rPr>
      </w:pPr>
      <w:r>
        <w:rPr>
          <w:rFonts w:ascii="宋体" w:hAnsi="宋体" w:cs="宋体"/>
          <w:b w:val="0"/>
          <w:bCs w:val="0"/>
          <w:sz w:val="24"/>
          <w:szCs w:val="24"/>
        </w:rPr>
        <w:t>附件</w:t>
      </w:r>
      <w:r>
        <w:rPr>
          <w:rFonts w:hint="eastAsia" w:ascii="宋体" w:hAnsi="宋体" w:cs="宋体"/>
          <w:b w:val="0"/>
          <w:bCs w:val="0"/>
          <w:sz w:val="24"/>
          <w:szCs w:val="24"/>
          <w:lang w:eastAsia="zh-CN"/>
        </w:rPr>
        <w:t>：</w:t>
      </w:r>
    </w:p>
    <w:p>
      <w:pPr>
        <w:pStyle w:val="4"/>
        <w:spacing w:line="360" w:lineRule="auto"/>
        <w:jc w:val="center"/>
        <w:rPr>
          <w:rFonts w:ascii="仿宋" w:hAnsi="仿宋" w:eastAsia="仿宋" w:cs="仿宋"/>
          <w:b/>
          <w:bCs/>
          <w:sz w:val="36"/>
          <w:szCs w:val="36"/>
        </w:rPr>
      </w:pPr>
      <w:r>
        <w:rPr>
          <w:rFonts w:ascii="仿宋" w:hAnsi="仿宋" w:eastAsia="仿宋" w:cs="仿宋"/>
          <w:b/>
          <w:bCs/>
          <w:sz w:val="36"/>
          <w:szCs w:val="36"/>
        </w:rPr>
        <w:t>综合比较与评价</w:t>
      </w:r>
    </w:p>
    <w:p>
      <w:pPr>
        <w:pStyle w:val="4"/>
        <w:tabs>
          <w:tab w:val="left" w:pos="540"/>
          <w:tab w:val="left" w:pos="1030"/>
        </w:tabs>
        <w:spacing w:line="360" w:lineRule="auto"/>
        <w:ind w:left="767" w:hanging="376"/>
        <w:rPr>
          <w:rFonts w:ascii="仿宋" w:hAnsi="仿宋" w:eastAsia="仿宋" w:cs="仿宋"/>
          <w:sz w:val="24"/>
          <w:szCs w:val="24"/>
        </w:rPr>
      </w:pPr>
      <w:r>
        <w:rPr>
          <w:rFonts w:ascii="仿宋" w:hAnsi="仿宋" w:eastAsia="仿宋" w:cs="仿宋"/>
          <w:sz w:val="24"/>
          <w:szCs w:val="24"/>
        </w:rPr>
        <w:t>技术、商务及价格分值分配</w:t>
      </w:r>
    </w:p>
    <w:tbl>
      <w:tblPr>
        <w:tblStyle w:val="2"/>
        <w:tblW w:w="7960" w:type="dxa"/>
        <w:tblInd w:w="828" w:type="dxa"/>
        <w:tblLayout w:type="fixed"/>
        <w:tblCellMar>
          <w:top w:w="0" w:type="dxa"/>
          <w:left w:w="108" w:type="dxa"/>
          <w:bottom w:w="0" w:type="dxa"/>
          <w:right w:w="108" w:type="dxa"/>
        </w:tblCellMar>
      </w:tblPr>
      <w:tblGrid>
        <w:gridCol w:w="3803"/>
        <w:gridCol w:w="4156"/>
      </w:tblGrid>
      <w:tr>
        <w:tblPrEx>
          <w:tblCellMar>
            <w:top w:w="0" w:type="dxa"/>
            <w:left w:w="108" w:type="dxa"/>
            <w:bottom w:w="0" w:type="dxa"/>
            <w:right w:w="108" w:type="dxa"/>
          </w:tblCellMar>
        </w:tblPrEx>
        <w:trPr>
          <w:trHeight w:val="496" w:hRule="atLeast"/>
        </w:trPr>
        <w:tc>
          <w:tcPr>
            <w:tcW w:w="3803" w:type="dxa"/>
            <w:tcBorders>
              <w:top w:val="single" w:color="000000" w:sz="6" w:space="0"/>
              <w:left w:val="single" w:color="000000" w:sz="6" w:space="0"/>
              <w:bottom w:val="single" w:color="000000" w:sz="6" w:space="0"/>
              <w:right w:val="single" w:color="000000" w:sz="6" w:space="0"/>
            </w:tcBorders>
            <w:vAlign w:val="center"/>
          </w:tcPr>
          <w:p>
            <w:pPr>
              <w:pStyle w:val="4"/>
              <w:widowControl w:val="0"/>
              <w:spacing w:before="0" w:after="0" w:line="360" w:lineRule="auto"/>
              <w:jc w:val="center"/>
              <w:rPr>
                <w:rFonts w:ascii="仿宋" w:hAnsi="仿宋" w:eastAsia="仿宋" w:cs="仿宋"/>
                <w:sz w:val="24"/>
                <w:szCs w:val="24"/>
              </w:rPr>
            </w:pPr>
            <w:r>
              <w:rPr>
                <w:rFonts w:ascii="仿宋" w:hAnsi="仿宋" w:eastAsia="仿宋" w:cs="仿宋"/>
                <w:sz w:val="24"/>
                <w:szCs w:val="24"/>
              </w:rPr>
              <w:t>技术、商务评分</w:t>
            </w:r>
          </w:p>
        </w:tc>
        <w:tc>
          <w:tcPr>
            <w:tcW w:w="4156" w:type="dxa"/>
            <w:tcBorders>
              <w:top w:val="single" w:color="000000" w:sz="6" w:space="0"/>
              <w:left w:val="single" w:color="000000" w:sz="6" w:space="0"/>
              <w:bottom w:val="single" w:color="000000" w:sz="6" w:space="0"/>
              <w:right w:val="single" w:color="000000" w:sz="6" w:space="0"/>
            </w:tcBorders>
            <w:vAlign w:val="center"/>
          </w:tcPr>
          <w:p>
            <w:pPr>
              <w:pStyle w:val="4"/>
              <w:widowControl w:val="0"/>
              <w:spacing w:before="0" w:after="0" w:line="360" w:lineRule="auto"/>
              <w:jc w:val="center"/>
              <w:rPr>
                <w:rFonts w:ascii="仿宋" w:hAnsi="仿宋" w:eastAsia="仿宋" w:cs="仿宋"/>
                <w:sz w:val="24"/>
                <w:szCs w:val="24"/>
              </w:rPr>
            </w:pPr>
            <w:r>
              <w:rPr>
                <w:rFonts w:ascii="仿宋" w:hAnsi="仿宋" w:eastAsia="仿宋" w:cs="仿宋"/>
                <w:sz w:val="24"/>
                <w:szCs w:val="24"/>
              </w:rPr>
              <w:t>价格评分</w:t>
            </w:r>
          </w:p>
        </w:tc>
      </w:tr>
      <w:tr>
        <w:tblPrEx>
          <w:tblCellMar>
            <w:top w:w="0" w:type="dxa"/>
            <w:left w:w="108" w:type="dxa"/>
            <w:bottom w:w="0" w:type="dxa"/>
            <w:right w:w="108" w:type="dxa"/>
          </w:tblCellMar>
        </w:tblPrEx>
        <w:trPr>
          <w:trHeight w:val="526" w:hRule="atLeast"/>
        </w:trPr>
        <w:tc>
          <w:tcPr>
            <w:tcW w:w="3803" w:type="dxa"/>
            <w:tcBorders>
              <w:top w:val="single" w:color="000000" w:sz="6" w:space="0"/>
              <w:left w:val="single" w:color="000000" w:sz="6" w:space="0"/>
              <w:bottom w:val="single" w:color="000000" w:sz="6" w:space="0"/>
              <w:right w:val="single" w:color="000000" w:sz="6" w:space="0"/>
            </w:tcBorders>
            <w:vAlign w:val="center"/>
          </w:tcPr>
          <w:p>
            <w:pPr>
              <w:pStyle w:val="4"/>
              <w:widowControl w:val="0"/>
              <w:spacing w:before="0" w:after="0" w:line="360" w:lineRule="auto"/>
              <w:jc w:val="center"/>
              <w:rPr>
                <w:rFonts w:ascii="仿宋" w:hAnsi="仿宋" w:eastAsia="仿宋" w:cs="仿宋"/>
                <w:sz w:val="24"/>
                <w:szCs w:val="24"/>
              </w:rPr>
            </w:pPr>
            <w:r>
              <w:rPr>
                <w:rFonts w:ascii="仿宋" w:hAnsi="仿宋" w:eastAsia="仿宋" w:cs="仿宋"/>
                <w:sz w:val="24"/>
                <w:szCs w:val="24"/>
              </w:rPr>
              <w:t>50</w:t>
            </w:r>
          </w:p>
        </w:tc>
        <w:tc>
          <w:tcPr>
            <w:tcW w:w="4156" w:type="dxa"/>
            <w:tcBorders>
              <w:top w:val="single" w:color="000000" w:sz="6" w:space="0"/>
              <w:left w:val="single" w:color="000000" w:sz="6" w:space="0"/>
              <w:bottom w:val="single" w:color="000000" w:sz="6" w:space="0"/>
              <w:right w:val="single" w:color="000000" w:sz="6" w:space="0"/>
            </w:tcBorders>
            <w:vAlign w:val="center"/>
          </w:tcPr>
          <w:p>
            <w:pPr>
              <w:pStyle w:val="4"/>
              <w:widowControl w:val="0"/>
              <w:spacing w:before="0" w:after="0" w:line="360" w:lineRule="auto"/>
              <w:jc w:val="center"/>
              <w:rPr>
                <w:rFonts w:ascii="仿宋" w:hAnsi="仿宋" w:eastAsia="仿宋" w:cs="仿宋"/>
                <w:sz w:val="24"/>
                <w:szCs w:val="24"/>
              </w:rPr>
            </w:pPr>
            <w:r>
              <w:rPr>
                <w:rFonts w:ascii="仿宋" w:hAnsi="仿宋" w:eastAsia="仿宋" w:cs="仿宋"/>
                <w:sz w:val="24"/>
                <w:szCs w:val="24"/>
              </w:rPr>
              <w:t>50</w:t>
            </w:r>
          </w:p>
        </w:tc>
      </w:tr>
    </w:tbl>
    <w:p>
      <w:pPr>
        <w:pStyle w:val="4"/>
        <w:spacing w:line="360" w:lineRule="auto"/>
        <w:ind w:firstLine="420"/>
        <w:jc w:val="left"/>
        <w:rPr>
          <w:rFonts w:ascii="仿宋" w:hAnsi="仿宋" w:eastAsia="仿宋" w:cs="仿宋"/>
          <w:b/>
          <w:sz w:val="30"/>
        </w:rPr>
      </w:pPr>
      <w:r>
        <w:rPr>
          <w:rFonts w:ascii="仿宋" w:hAnsi="仿宋" w:eastAsia="仿宋" w:cs="仿宋"/>
          <w:bCs/>
          <w:sz w:val="24"/>
          <w:szCs w:val="24"/>
        </w:rPr>
        <w:t>各评委的技术、商务评分总和的算术平均值即为该报价人的技术评分和商务评分，</w:t>
      </w:r>
      <w:r>
        <w:rPr>
          <w:rFonts w:ascii="仿宋" w:hAnsi="仿宋" w:eastAsia="仿宋" w:cs="仿宋"/>
          <w:sz w:val="24"/>
          <w:szCs w:val="24"/>
        </w:rPr>
        <w:t>然后，评出价格得分。将技术评分、商务评分和价格评分分别相加得出综合得分，综合得分按由高到低顺序排列（评标总得分分值按四舍五入原则精确到小数点后两位）。综合得分相同的，按报价由低到高顺序排列。综合得分和投标报价均相同的，按技术、商务指标由优至劣顺序排列。</w:t>
      </w:r>
    </w:p>
    <w:p>
      <w:pPr>
        <w:pStyle w:val="4"/>
        <w:spacing w:line="360" w:lineRule="auto"/>
        <w:jc w:val="center"/>
        <w:rPr>
          <w:rFonts w:ascii="仿宋" w:hAnsi="仿宋" w:eastAsia="仿宋" w:cs="仿宋"/>
          <w:sz w:val="28"/>
          <w:szCs w:val="28"/>
        </w:rPr>
      </w:pPr>
      <w:r>
        <w:rPr>
          <w:rFonts w:eastAsia="仿宋"/>
          <w:b/>
          <w:sz w:val="30"/>
        </w:rPr>
        <w:t>技术、商务评分表</w:t>
      </w:r>
    </w:p>
    <w:tbl>
      <w:tblPr>
        <w:tblStyle w:val="2"/>
        <w:tblpPr w:leftFromText="180" w:rightFromText="180" w:vertAnchor="text" w:horzAnchor="page" w:tblpXSpec="center" w:tblpY="354"/>
        <w:tblW w:w="4950" w:type="pct"/>
        <w:jc w:val="center"/>
        <w:tblLayout w:type="fixed"/>
        <w:tblCellMar>
          <w:top w:w="0" w:type="dxa"/>
          <w:left w:w="85" w:type="dxa"/>
          <w:bottom w:w="0" w:type="dxa"/>
          <w:right w:w="85" w:type="dxa"/>
        </w:tblCellMar>
      </w:tblPr>
      <w:tblGrid>
        <w:gridCol w:w="490"/>
        <w:gridCol w:w="2495"/>
        <w:gridCol w:w="691"/>
        <w:gridCol w:w="4631"/>
        <w:gridCol w:w="641"/>
      </w:tblGrid>
      <w:tr>
        <w:tblPrEx>
          <w:tblCellMar>
            <w:top w:w="0" w:type="dxa"/>
            <w:left w:w="85" w:type="dxa"/>
            <w:bottom w:w="0" w:type="dxa"/>
            <w:right w:w="85" w:type="dxa"/>
          </w:tblCellMar>
        </w:tblPrEx>
        <w:trPr>
          <w:trHeight w:val="311" w:hRule="atLeast"/>
          <w:jc w:val="center"/>
        </w:trPr>
        <w:tc>
          <w:tcPr>
            <w:tcW w:w="481"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序号</w:t>
            </w:r>
          </w:p>
        </w:tc>
        <w:tc>
          <w:tcPr>
            <w:tcW w:w="2448"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评审项目</w:t>
            </w:r>
          </w:p>
        </w:tc>
        <w:tc>
          <w:tcPr>
            <w:tcW w:w="678"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单项分值</w:t>
            </w:r>
          </w:p>
        </w:tc>
        <w:tc>
          <w:tcPr>
            <w:tcW w:w="4543"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评审内容</w:t>
            </w:r>
          </w:p>
        </w:tc>
        <w:tc>
          <w:tcPr>
            <w:tcW w:w="629"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打分</w:t>
            </w:r>
          </w:p>
        </w:tc>
      </w:tr>
      <w:tr>
        <w:tblPrEx>
          <w:tblCellMar>
            <w:top w:w="0" w:type="dxa"/>
            <w:left w:w="85" w:type="dxa"/>
            <w:bottom w:w="0" w:type="dxa"/>
            <w:right w:w="85" w:type="dxa"/>
          </w:tblCellMar>
        </w:tblPrEx>
        <w:trPr>
          <w:trHeight w:val="2184"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1</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cs="宋体"/>
                <w:kern w:val="0"/>
                <w:szCs w:val="21"/>
              </w:rPr>
              <w:t>总体模式及配套措施</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color w:val="000000"/>
                <w:kern w:val="0"/>
                <w:szCs w:val="21"/>
              </w:rPr>
            </w:pPr>
            <w:r>
              <w:rPr>
                <w:rFonts w:ascii="宋体" w:hAnsi="宋体" w:eastAsia="宋体" w:cs="宋体"/>
                <w:color w:val="000000"/>
                <w:kern w:val="0"/>
                <w:szCs w:val="21"/>
              </w:rPr>
              <w:t>10</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kern w:val="0"/>
                <w:szCs w:val="21"/>
              </w:rPr>
            </w:pPr>
            <w:r>
              <w:rPr>
                <w:rFonts w:ascii="宋体" w:hAnsi="宋体" w:cs="宋体"/>
                <w:kern w:val="0"/>
                <w:szCs w:val="21"/>
              </w:rPr>
              <w:t>根据报价人对本项目的理解，针对项目提出适合采购人后勤的专业管理模式及提出并承诺的配套措施，且具有合理性、可行性，突出专业性进行比较。</w:t>
            </w:r>
          </w:p>
          <w:p>
            <w:pPr>
              <w:pStyle w:val="4"/>
              <w:widowControl w:val="0"/>
              <w:spacing w:before="0" w:after="0"/>
              <w:rPr>
                <w:rFonts w:ascii="宋体" w:hAnsi="宋体" w:eastAsia="宋体" w:cs="宋体"/>
                <w:kern w:val="0"/>
                <w:szCs w:val="21"/>
              </w:rPr>
            </w:pPr>
            <w:r>
              <w:rPr>
                <w:rFonts w:ascii="宋体" w:hAnsi="宋体" w:cs="宋体"/>
                <w:kern w:val="0"/>
                <w:szCs w:val="21"/>
              </w:rPr>
              <w:t>总体模式及配套措施均针对性强、科学合理且操作性强，得</w:t>
            </w:r>
            <w:r>
              <w:rPr>
                <w:rFonts w:ascii="宋体" w:hAnsi="宋体" w:eastAsia="宋体" w:cs="宋体"/>
                <w:kern w:val="0"/>
                <w:szCs w:val="21"/>
              </w:rPr>
              <w:t>10</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kern w:val="0"/>
                <w:szCs w:val="21"/>
              </w:rPr>
              <w:t>总体模式及配套措施均制定较详细、针对性较强、基本合理、操作性一般，得</w:t>
            </w:r>
            <w:r>
              <w:rPr>
                <w:rFonts w:ascii="宋体" w:hAnsi="宋体" w:eastAsia="宋体" w:cs="宋体"/>
                <w:kern w:val="0"/>
                <w:szCs w:val="21"/>
              </w:rPr>
              <w:t>5</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szCs w:val="21"/>
              </w:rPr>
              <w:t>总体模式及配套措施均制定差、非专门针对本项目、不科学合理且操作性不强，</w:t>
            </w:r>
            <w:r>
              <w:rPr>
                <w:rFonts w:ascii="宋体" w:hAnsi="宋体" w:cs="宋体"/>
                <w:kern w:val="0"/>
                <w:szCs w:val="21"/>
              </w:rPr>
              <w:t>得1分；</w:t>
            </w:r>
          </w:p>
          <w:p>
            <w:pPr>
              <w:pStyle w:val="4"/>
              <w:widowControl w:val="0"/>
              <w:spacing w:before="0" w:after="0"/>
              <w:rPr>
                <w:rFonts w:ascii="宋体" w:hAnsi="宋体" w:eastAsia="宋体" w:cs="宋体"/>
                <w:szCs w:val="21"/>
              </w:rPr>
            </w:pPr>
            <w:r>
              <w:rPr>
                <w:rFonts w:ascii="宋体" w:hAnsi="宋体" w:cs="宋体"/>
                <w:kern w:val="0"/>
                <w:szCs w:val="21"/>
              </w:rPr>
              <w:t>没有提供配套措施不得分。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3688"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2</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5"/>
              <w:widowControl w:val="0"/>
              <w:pBdr>
                <w:bottom w:val="none" w:color="auto" w:sz="0" w:space="0"/>
              </w:pBdr>
              <w:tabs>
                <w:tab w:val="clear" w:pos="4153"/>
                <w:tab w:val="clear" w:pos="8306"/>
              </w:tabs>
              <w:snapToGrid/>
              <w:spacing w:before="0" w:after="0" w:line="300" w:lineRule="exact"/>
              <w:rPr>
                <w:rFonts w:ascii="宋体" w:hAnsi="宋体" w:eastAsia="宋体" w:cs="宋体"/>
                <w:kern w:val="0"/>
                <w:sz w:val="21"/>
                <w:szCs w:val="21"/>
              </w:rPr>
            </w:pPr>
            <w:r>
              <w:rPr>
                <w:rFonts w:ascii="宋体" w:hAnsi="宋体" w:cs="宋体"/>
                <w:kern w:val="0"/>
                <w:sz w:val="21"/>
                <w:szCs w:val="21"/>
              </w:rPr>
              <w:t>机构设立（包括人员）</w:t>
            </w:r>
          </w:p>
          <w:p>
            <w:pPr>
              <w:pStyle w:val="5"/>
              <w:widowControl w:val="0"/>
              <w:pBdr>
                <w:bottom w:val="none" w:color="auto" w:sz="0" w:space="0"/>
              </w:pBdr>
              <w:tabs>
                <w:tab w:val="clear" w:pos="4153"/>
                <w:tab w:val="clear" w:pos="8306"/>
              </w:tabs>
              <w:snapToGrid/>
              <w:spacing w:before="0" w:after="0" w:line="300" w:lineRule="exact"/>
              <w:rPr>
                <w:rFonts w:ascii="宋体" w:hAnsi="宋体" w:eastAsia="宋体" w:cs="宋体"/>
                <w:kern w:val="0"/>
                <w:sz w:val="21"/>
                <w:szCs w:val="21"/>
              </w:rPr>
            </w:pPr>
            <w:r>
              <w:rPr>
                <w:rFonts w:ascii="宋体" w:hAnsi="宋体" w:cs="宋体"/>
                <w:kern w:val="0"/>
                <w:sz w:val="21"/>
                <w:szCs w:val="21"/>
              </w:rPr>
              <w:t>及运作流程</w:t>
            </w:r>
          </w:p>
          <w:p>
            <w:pPr>
              <w:pStyle w:val="4"/>
              <w:widowControl w:val="0"/>
              <w:spacing w:before="0" w:after="0"/>
              <w:jc w:val="center"/>
              <w:rPr>
                <w:rFonts w:ascii="宋体" w:hAnsi="宋体" w:eastAsia="宋体" w:cs="宋体"/>
                <w:szCs w:val="21"/>
              </w:rPr>
            </w:pP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kern w:val="0"/>
                <w:szCs w:val="21"/>
              </w:rPr>
            </w:pPr>
            <w:r>
              <w:rPr>
                <w:rFonts w:ascii="宋体" w:hAnsi="宋体" w:cs="宋体"/>
                <w:kern w:val="0"/>
                <w:szCs w:val="21"/>
              </w:rPr>
              <w:t>根据报价人机构设立方案、运作流程及管理方式进行比较：</w:t>
            </w:r>
          </w:p>
          <w:p>
            <w:pPr>
              <w:pStyle w:val="4"/>
              <w:widowControl w:val="0"/>
              <w:spacing w:before="0" w:after="0"/>
              <w:rPr>
                <w:rFonts w:ascii="宋体" w:hAnsi="宋体" w:eastAsia="宋体" w:cs="宋体"/>
                <w:kern w:val="0"/>
                <w:szCs w:val="21"/>
              </w:rPr>
            </w:pPr>
            <w:r>
              <w:rPr>
                <w:rFonts w:ascii="宋体" w:hAnsi="宋体" w:cs="宋体"/>
                <w:kern w:val="0"/>
                <w:szCs w:val="21"/>
              </w:rPr>
              <w:t>机构设立方案（包括人员配备</w:t>
            </w:r>
            <w:r>
              <w:rPr>
                <w:rFonts w:hint="eastAsia" w:ascii="宋体" w:hAnsi="宋体" w:cs="宋体"/>
                <w:kern w:val="0"/>
                <w:szCs w:val="21"/>
                <w:lang w:eastAsia="zh-CN"/>
              </w:rPr>
              <w:t>、年龄符合要求</w:t>
            </w:r>
            <w:r>
              <w:rPr>
                <w:rFonts w:ascii="宋体" w:hAnsi="宋体" w:cs="宋体"/>
                <w:kern w:val="0"/>
                <w:szCs w:val="21"/>
              </w:rPr>
              <w:t>）、运作流程及管理方式均制定详细、针对性强、科学合理且操作性强，得</w:t>
            </w:r>
            <w:r>
              <w:rPr>
                <w:rFonts w:ascii="宋体" w:hAnsi="宋体" w:eastAsia="宋体" w:cs="宋体"/>
                <w:kern w:val="0"/>
                <w:szCs w:val="21"/>
              </w:rPr>
              <w:t>5</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kern w:val="0"/>
                <w:szCs w:val="21"/>
              </w:rPr>
              <w:t>机构设立方案（包括人员配备</w:t>
            </w:r>
            <w:r>
              <w:rPr>
                <w:rFonts w:hint="eastAsia" w:ascii="宋体" w:hAnsi="宋体" w:cs="宋体"/>
                <w:kern w:val="0"/>
                <w:szCs w:val="21"/>
                <w:lang w:eastAsia="zh-CN"/>
              </w:rPr>
              <w:t>、年龄符合要求</w:t>
            </w:r>
            <w:r>
              <w:rPr>
                <w:rFonts w:ascii="宋体" w:hAnsi="宋体" w:cs="宋体"/>
                <w:kern w:val="0"/>
                <w:szCs w:val="21"/>
              </w:rPr>
              <w:t>）、运作流程及管理方式均制定较详细、针对性一般，合理且操作性一般，得</w:t>
            </w:r>
            <w:r>
              <w:rPr>
                <w:rFonts w:ascii="宋体" w:hAnsi="宋体" w:eastAsia="宋体" w:cs="宋体"/>
                <w:kern w:val="0"/>
                <w:szCs w:val="21"/>
              </w:rPr>
              <w:t>3</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kern w:val="0"/>
                <w:szCs w:val="21"/>
              </w:rPr>
              <w:t>机构设立方案（包括人员配备</w:t>
            </w:r>
            <w:r>
              <w:rPr>
                <w:rFonts w:hint="eastAsia" w:ascii="宋体" w:hAnsi="宋体" w:cs="宋体"/>
                <w:kern w:val="0"/>
                <w:szCs w:val="21"/>
                <w:lang w:eastAsia="zh-CN"/>
              </w:rPr>
              <w:t>、年龄符合要求</w:t>
            </w:r>
            <w:r>
              <w:rPr>
                <w:rFonts w:ascii="宋体" w:hAnsi="宋体" w:cs="宋体"/>
                <w:kern w:val="0"/>
                <w:szCs w:val="21"/>
              </w:rPr>
              <w:t>）、运作流程及管理方式均制定不详细、针对性差，合理且操作性差，得</w:t>
            </w:r>
            <w:r>
              <w:rPr>
                <w:rFonts w:ascii="宋体" w:hAnsi="宋体" w:eastAsia="宋体" w:cs="宋体"/>
                <w:kern w:val="0"/>
                <w:szCs w:val="21"/>
              </w:rPr>
              <w:t>1</w:t>
            </w:r>
            <w:r>
              <w:rPr>
                <w:rFonts w:ascii="宋体" w:hAnsi="宋体" w:cs="宋体"/>
                <w:kern w:val="0"/>
                <w:szCs w:val="21"/>
              </w:rPr>
              <w:t>分；</w:t>
            </w:r>
          </w:p>
          <w:p>
            <w:pPr>
              <w:pStyle w:val="4"/>
              <w:widowControl w:val="0"/>
              <w:spacing w:before="0" w:after="0"/>
              <w:rPr>
                <w:rFonts w:ascii="宋体" w:hAnsi="宋体" w:eastAsia="宋体" w:cs="宋体"/>
                <w:szCs w:val="21"/>
              </w:rPr>
            </w:pPr>
            <w:r>
              <w:rPr>
                <w:rFonts w:ascii="宋体" w:hAnsi="宋体" w:cs="宋体"/>
                <w:kern w:val="0"/>
                <w:szCs w:val="21"/>
              </w:rPr>
              <w:t>没有提供人员及设备配备情况不得分。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2184"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3</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5"/>
              <w:widowControl w:val="0"/>
              <w:pBdr>
                <w:bottom w:val="none" w:color="auto" w:sz="0" w:space="0"/>
              </w:pBdr>
              <w:tabs>
                <w:tab w:val="clear" w:pos="4153"/>
                <w:tab w:val="clear" w:pos="8306"/>
              </w:tabs>
              <w:snapToGrid/>
              <w:spacing w:before="0" w:after="0" w:line="300" w:lineRule="exact"/>
              <w:rPr>
                <w:rFonts w:ascii="宋体" w:hAnsi="宋体" w:eastAsia="宋体" w:cs="宋体"/>
              </w:rPr>
            </w:pPr>
            <w:r>
              <w:rPr>
                <w:rFonts w:ascii="宋体" w:hAnsi="宋体" w:cs="宋体"/>
                <w:kern w:val="0"/>
                <w:sz w:val="21"/>
                <w:szCs w:val="21"/>
              </w:rPr>
              <w:t>质量管控、规章制度及档案管理</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kern w:val="0"/>
                <w:szCs w:val="21"/>
              </w:rPr>
            </w:pPr>
            <w:r>
              <w:rPr>
                <w:rFonts w:ascii="宋体" w:hAnsi="宋体" w:cs="宋体"/>
                <w:kern w:val="0"/>
                <w:szCs w:val="21"/>
              </w:rPr>
              <w:t>结合对本项目的特点，制订的质量管控、规章制度及档案管理的合理性，可行性进行比较。</w:t>
            </w:r>
          </w:p>
          <w:p>
            <w:pPr>
              <w:pStyle w:val="4"/>
              <w:widowControl w:val="0"/>
              <w:spacing w:before="0" w:after="0"/>
              <w:rPr>
                <w:rFonts w:ascii="宋体" w:hAnsi="宋体" w:eastAsia="宋体" w:cs="宋体"/>
                <w:kern w:val="0"/>
                <w:szCs w:val="21"/>
              </w:rPr>
            </w:pPr>
            <w:r>
              <w:rPr>
                <w:rFonts w:ascii="宋体" w:hAnsi="宋体" w:cs="宋体"/>
                <w:kern w:val="0"/>
                <w:szCs w:val="21"/>
              </w:rPr>
              <w:t>质量指标、规章制度及档案管理完善、合理且操作性强，得</w:t>
            </w:r>
            <w:r>
              <w:rPr>
                <w:rFonts w:ascii="宋体" w:hAnsi="宋体" w:eastAsia="宋体" w:cs="宋体"/>
                <w:kern w:val="0"/>
                <w:szCs w:val="21"/>
              </w:rPr>
              <w:t>5</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kern w:val="0"/>
                <w:szCs w:val="21"/>
              </w:rPr>
              <w:t>质量指标、规章制度及档案管理均制定较详细、针对性一般，合理且操作性一般，得</w:t>
            </w:r>
            <w:r>
              <w:rPr>
                <w:rFonts w:ascii="宋体" w:hAnsi="宋体" w:eastAsia="宋体" w:cs="宋体"/>
                <w:kern w:val="0"/>
                <w:szCs w:val="21"/>
              </w:rPr>
              <w:t>3</w:t>
            </w:r>
            <w:r>
              <w:rPr>
                <w:rFonts w:ascii="宋体" w:hAnsi="宋体" w:cs="宋体"/>
                <w:kern w:val="0"/>
                <w:szCs w:val="21"/>
              </w:rPr>
              <w:t>分；</w:t>
            </w:r>
          </w:p>
          <w:p>
            <w:pPr>
              <w:pStyle w:val="4"/>
              <w:widowControl w:val="0"/>
              <w:spacing w:before="0" w:after="0"/>
              <w:rPr>
                <w:rFonts w:ascii="宋体" w:hAnsi="宋体" w:eastAsia="宋体" w:cs="宋体"/>
                <w:kern w:val="0"/>
                <w:szCs w:val="21"/>
              </w:rPr>
            </w:pPr>
            <w:r>
              <w:rPr>
                <w:rFonts w:ascii="宋体" w:hAnsi="宋体" w:cs="宋体"/>
                <w:kern w:val="0"/>
                <w:szCs w:val="21"/>
              </w:rPr>
              <w:t>质量指标、规章制度及档案管理均制定不详细、针对性差，合理且操作性差，得</w:t>
            </w:r>
            <w:r>
              <w:rPr>
                <w:rFonts w:ascii="宋体" w:hAnsi="宋体" w:eastAsia="宋体" w:cs="宋体"/>
                <w:kern w:val="0"/>
                <w:szCs w:val="21"/>
              </w:rPr>
              <w:t>1</w:t>
            </w:r>
            <w:r>
              <w:rPr>
                <w:rFonts w:ascii="宋体" w:hAnsi="宋体" w:cs="宋体"/>
                <w:kern w:val="0"/>
                <w:szCs w:val="21"/>
              </w:rPr>
              <w:t>分；</w:t>
            </w:r>
          </w:p>
          <w:p>
            <w:pPr>
              <w:pStyle w:val="4"/>
              <w:widowControl w:val="0"/>
              <w:spacing w:before="0" w:after="0"/>
              <w:rPr>
                <w:rFonts w:ascii="宋体" w:hAnsi="宋体" w:eastAsia="宋体" w:cs="宋体"/>
                <w:szCs w:val="21"/>
              </w:rPr>
            </w:pPr>
            <w:r>
              <w:rPr>
                <w:rFonts w:ascii="宋体" w:hAnsi="宋体" w:cs="宋体"/>
                <w:kern w:val="0"/>
                <w:szCs w:val="21"/>
              </w:rPr>
              <w:t>没有提供质量指标、规章制度及档案管理不得分。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1395"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cs="宋体"/>
                <w:szCs w:val="21"/>
              </w:rPr>
              <w:t>4</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5"/>
              <w:widowControl w:val="0"/>
              <w:pBdr>
                <w:bottom w:val="none" w:color="auto" w:sz="0" w:space="0"/>
              </w:pBdr>
              <w:tabs>
                <w:tab w:val="clear" w:pos="4153"/>
                <w:tab w:val="clear" w:pos="8306"/>
              </w:tabs>
              <w:snapToGrid/>
              <w:spacing w:before="0" w:after="0" w:line="300" w:lineRule="exact"/>
              <w:rPr>
                <w:rFonts w:ascii="宋体" w:hAnsi="宋体" w:eastAsia="宋体" w:cs="宋体"/>
                <w:kern w:val="0"/>
                <w:sz w:val="21"/>
                <w:szCs w:val="21"/>
              </w:rPr>
            </w:pPr>
            <w:r>
              <w:rPr>
                <w:rFonts w:ascii="宋体" w:hAnsi="宋体" w:cs="宋体"/>
                <w:kern w:val="0"/>
                <w:sz w:val="21"/>
                <w:szCs w:val="21"/>
              </w:rPr>
              <w:t>本项目项目管理人员的资质和经验</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rPr>
            </w:pPr>
            <w:r>
              <w:rPr>
                <w:rFonts w:ascii="宋体" w:hAnsi="宋体" w:cs="宋体"/>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kern w:val="0"/>
                <w:szCs w:val="21"/>
              </w:rPr>
            </w:pPr>
            <w:r>
              <w:rPr>
                <w:rFonts w:ascii="宋体" w:hAnsi="宋体" w:cs="仿宋_GB2312"/>
                <w:szCs w:val="21"/>
              </w:rPr>
              <w:t>根据报价人项目管理人员的学历、与本项目相关的资质、管理经验等情况进行比较。对比最优得5分；对比次之得3分；对比一般得1分；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1642"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cs="宋体"/>
                <w:szCs w:val="21"/>
              </w:rPr>
              <w:t>5</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5"/>
              <w:widowControl w:val="0"/>
              <w:pBdr>
                <w:bottom w:val="none" w:color="auto" w:sz="0" w:space="0"/>
              </w:pBdr>
              <w:tabs>
                <w:tab w:val="clear" w:pos="4153"/>
                <w:tab w:val="clear" w:pos="8306"/>
              </w:tabs>
              <w:snapToGrid/>
              <w:spacing w:before="0" w:after="0" w:line="300" w:lineRule="exact"/>
              <w:rPr>
                <w:rFonts w:ascii="宋体" w:hAnsi="宋体" w:eastAsia="宋体" w:cs="宋体"/>
                <w:color w:val="000000"/>
              </w:rPr>
            </w:pPr>
            <w:r>
              <w:rPr>
                <w:rFonts w:ascii="宋体" w:hAnsi="宋体" w:cs="宋体"/>
                <w:kern w:val="0"/>
                <w:sz w:val="21"/>
                <w:szCs w:val="21"/>
              </w:rPr>
              <w:t>服务人员专业培训和管理</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rPr>
            </w:pPr>
            <w:r>
              <w:rPr>
                <w:rFonts w:ascii="宋体" w:hAnsi="宋体" w:cs="宋体"/>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color w:val="FF0000"/>
                <w:kern w:val="0"/>
                <w:szCs w:val="21"/>
              </w:rPr>
            </w:pPr>
            <w:r>
              <w:rPr>
                <w:rFonts w:ascii="宋体" w:hAnsi="宋体" w:cs="宋体"/>
                <w:kern w:val="0"/>
                <w:szCs w:val="21"/>
              </w:rPr>
              <w:t>对各类人员招聘方案、招聘要求的合理性；培训计划、方式及行为规范的培训；员工录用与管理方案中的考核淘汰机制、协调关系、服务意识等进行比较。</w:t>
            </w:r>
          </w:p>
          <w:p>
            <w:pPr>
              <w:pStyle w:val="4"/>
              <w:widowControl w:val="0"/>
              <w:spacing w:before="0" w:after="0"/>
              <w:rPr>
                <w:rFonts w:ascii="宋体" w:hAnsi="宋体" w:eastAsia="宋体" w:cs="宋体"/>
                <w:kern w:val="0"/>
                <w:szCs w:val="21"/>
              </w:rPr>
            </w:pPr>
            <w:r>
              <w:rPr>
                <w:rFonts w:ascii="宋体" w:hAnsi="宋体" w:cs="宋体"/>
                <w:kern w:val="0"/>
                <w:szCs w:val="21"/>
              </w:rPr>
              <w:t>人员专业培训和管理方案详细及合理，得5分；</w:t>
            </w:r>
          </w:p>
          <w:p>
            <w:pPr>
              <w:pStyle w:val="4"/>
              <w:widowControl w:val="0"/>
              <w:spacing w:before="0" w:after="0"/>
              <w:rPr>
                <w:rFonts w:ascii="宋体" w:hAnsi="宋体" w:eastAsia="宋体" w:cs="宋体"/>
                <w:kern w:val="0"/>
                <w:szCs w:val="21"/>
              </w:rPr>
            </w:pPr>
            <w:r>
              <w:rPr>
                <w:rFonts w:ascii="宋体" w:hAnsi="宋体" w:cs="宋体"/>
                <w:kern w:val="0"/>
                <w:szCs w:val="21"/>
              </w:rPr>
              <w:t>人员专业培训和管理方案一般，内容较详细，得3分；</w:t>
            </w:r>
          </w:p>
          <w:p>
            <w:pPr>
              <w:pStyle w:val="4"/>
              <w:widowControl w:val="0"/>
              <w:spacing w:before="0" w:after="0"/>
              <w:rPr>
                <w:rFonts w:ascii="宋体" w:hAnsi="宋体" w:eastAsia="宋体" w:cs="宋体"/>
                <w:sz w:val="18"/>
              </w:rPr>
            </w:pPr>
            <w:r>
              <w:rPr>
                <w:rFonts w:ascii="宋体" w:hAnsi="宋体" w:cs="宋体"/>
                <w:kern w:val="0"/>
                <w:szCs w:val="21"/>
              </w:rPr>
              <w:t>人员专业培训和管理方案差，内容不详细，得1分；</w:t>
            </w:r>
          </w:p>
          <w:p>
            <w:pPr>
              <w:pStyle w:val="4"/>
              <w:widowControl w:val="0"/>
              <w:spacing w:before="0" w:after="0"/>
              <w:rPr>
                <w:rFonts w:ascii="宋体" w:hAnsi="宋体" w:eastAsia="宋体" w:cs="宋体"/>
                <w:szCs w:val="21"/>
              </w:rPr>
            </w:pPr>
            <w:r>
              <w:rPr>
                <w:rFonts w:ascii="宋体" w:hAnsi="宋体" w:cs="宋体"/>
                <w:kern w:val="0"/>
                <w:szCs w:val="21"/>
              </w:rPr>
              <w:t>没有提供人员专业培训和管理方案不得分。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1642"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cs="宋体"/>
                <w:szCs w:val="21"/>
              </w:rPr>
            </w:pPr>
            <w:r>
              <w:rPr>
                <w:rFonts w:ascii="宋体" w:hAnsi="宋体" w:cs="宋体"/>
                <w:szCs w:val="21"/>
              </w:rPr>
              <w:t>6</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kern w:val="0"/>
                <w:szCs w:val="21"/>
              </w:rPr>
            </w:pPr>
            <w:r>
              <w:rPr>
                <w:rFonts w:ascii="宋体" w:hAnsi="宋体" w:cs="宋体"/>
                <w:color w:val="000000"/>
              </w:rPr>
              <w:t>设备设施情况</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hint="eastAsia" w:ascii="宋体" w:hAnsi="宋体" w:cs="宋体" w:eastAsiaTheme="minorEastAsia"/>
                <w:lang w:val="en-US" w:eastAsia="zh-CN"/>
              </w:rPr>
            </w:pPr>
            <w:r>
              <w:rPr>
                <w:rFonts w:hint="eastAsia" w:ascii="宋体" w:hAnsi="宋体" w:cs="宋体"/>
                <w:lang w:val="en-US" w:eastAsia="zh-CN"/>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szCs w:val="21"/>
              </w:rPr>
            </w:pPr>
            <w:r>
              <w:rPr>
                <w:rFonts w:ascii="宋体" w:hAnsi="宋体" w:cs="宋体"/>
                <w:szCs w:val="21"/>
              </w:rPr>
              <w:t>根据报价人针对本项目提供的清洁工具、清洁物料配置方案（包含①清洁工具、清洁物料的种类明细、数量、品牌，②专业设备的简单性能介绍）进行评比：</w:t>
            </w:r>
          </w:p>
          <w:p>
            <w:pPr>
              <w:pStyle w:val="4"/>
              <w:widowControl w:val="0"/>
              <w:spacing w:before="0" w:after="0"/>
              <w:rPr>
                <w:rFonts w:ascii="宋体" w:hAnsi="宋体" w:eastAsia="宋体" w:cs="宋体"/>
                <w:szCs w:val="21"/>
              </w:rPr>
            </w:pPr>
            <w:r>
              <w:rPr>
                <w:rFonts w:ascii="宋体" w:hAnsi="宋体" w:cs="宋体"/>
                <w:szCs w:val="21"/>
              </w:rPr>
              <w:t>方案内容齐全、清晰合理且具有针对性，优于招标文件需求的得</w:t>
            </w:r>
            <w:r>
              <w:rPr>
                <w:rFonts w:hint="eastAsia" w:ascii="宋体" w:hAnsi="宋体" w:eastAsia="宋体" w:cs="宋体"/>
                <w:szCs w:val="21"/>
                <w:lang w:val="en-US" w:eastAsia="zh-CN"/>
              </w:rPr>
              <w:t>5</w:t>
            </w:r>
            <w:r>
              <w:rPr>
                <w:rFonts w:ascii="宋体" w:hAnsi="宋体" w:cs="宋体"/>
                <w:szCs w:val="21"/>
              </w:rPr>
              <w:t>分；</w:t>
            </w:r>
          </w:p>
          <w:p>
            <w:pPr>
              <w:pStyle w:val="4"/>
              <w:widowControl w:val="0"/>
              <w:spacing w:before="0" w:after="0"/>
              <w:rPr>
                <w:rFonts w:ascii="宋体" w:hAnsi="宋体" w:eastAsia="宋体" w:cs="宋体"/>
                <w:szCs w:val="21"/>
              </w:rPr>
            </w:pPr>
            <w:r>
              <w:rPr>
                <w:rFonts w:ascii="宋体" w:hAnsi="宋体" w:cs="宋体"/>
                <w:szCs w:val="21"/>
              </w:rPr>
              <w:t>方案内容完全满足招标文件需求的得</w:t>
            </w:r>
            <w:r>
              <w:rPr>
                <w:rFonts w:hint="eastAsia" w:ascii="宋体" w:hAnsi="宋体" w:eastAsia="宋体" w:cs="宋体"/>
                <w:szCs w:val="21"/>
                <w:lang w:val="en-US" w:eastAsia="zh-CN"/>
              </w:rPr>
              <w:t>3</w:t>
            </w:r>
            <w:r>
              <w:rPr>
                <w:rFonts w:ascii="宋体" w:hAnsi="宋体" w:cs="宋体"/>
                <w:szCs w:val="21"/>
              </w:rPr>
              <w:t>分；</w:t>
            </w:r>
          </w:p>
          <w:p>
            <w:pPr>
              <w:pStyle w:val="4"/>
              <w:widowControl w:val="0"/>
              <w:spacing w:before="0" w:after="0"/>
              <w:rPr>
                <w:rFonts w:ascii="宋体" w:hAnsi="宋体" w:eastAsia="宋体" w:cs="宋体"/>
                <w:kern w:val="0"/>
                <w:szCs w:val="21"/>
              </w:rPr>
            </w:pPr>
            <w:r>
              <w:rPr>
                <w:rFonts w:ascii="宋体" w:hAnsi="宋体" w:cs="宋体"/>
                <w:szCs w:val="21"/>
              </w:rPr>
              <w:t>方案内容能基本满足招标文件需求的得1分。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1370"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cs="宋体"/>
                <w:szCs w:val="21"/>
              </w:rPr>
              <w:t>7</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color w:val="000000"/>
              </w:rPr>
            </w:pPr>
            <w:r>
              <w:rPr>
                <w:rFonts w:ascii="宋体" w:hAnsi="宋体" w:cs="宋体"/>
                <w:kern w:val="0"/>
                <w:szCs w:val="21"/>
              </w:rPr>
              <w:t>应急服务预案</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5</w:t>
            </w:r>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color w:val="000000"/>
                <w:kern w:val="0"/>
                <w:szCs w:val="21"/>
              </w:rPr>
            </w:pPr>
            <w:r>
              <w:rPr>
                <w:rFonts w:ascii="宋体" w:hAnsi="宋体" w:cs="宋体"/>
                <w:color w:val="000000"/>
                <w:kern w:val="0"/>
                <w:szCs w:val="21"/>
              </w:rPr>
              <w:t>根据报价人对本项目的预案流程、可操作性进行比较。</w:t>
            </w:r>
          </w:p>
          <w:p>
            <w:pPr>
              <w:pStyle w:val="4"/>
              <w:widowControl w:val="0"/>
              <w:spacing w:before="0" w:after="0"/>
              <w:rPr>
                <w:rFonts w:ascii="宋体" w:hAnsi="宋体" w:eastAsia="宋体" w:cs="宋体"/>
                <w:color w:val="000000"/>
                <w:kern w:val="0"/>
                <w:szCs w:val="21"/>
              </w:rPr>
            </w:pPr>
            <w:r>
              <w:rPr>
                <w:rFonts w:ascii="宋体" w:hAnsi="宋体" w:cs="宋体"/>
                <w:color w:val="000000"/>
                <w:kern w:val="0"/>
                <w:szCs w:val="21"/>
              </w:rPr>
              <w:t>应急服务预案流程详细及合理，可操作性强，得</w:t>
            </w:r>
            <w:r>
              <w:rPr>
                <w:rFonts w:ascii="宋体" w:hAnsi="宋体" w:eastAsia="宋体" w:cs="宋体"/>
                <w:color w:val="000000"/>
                <w:kern w:val="0"/>
                <w:szCs w:val="21"/>
              </w:rPr>
              <w:t>5</w:t>
            </w:r>
            <w:r>
              <w:rPr>
                <w:rFonts w:ascii="宋体" w:hAnsi="宋体" w:cs="宋体"/>
                <w:color w:val="000000"/>
                <w:kern w:val="0"/>
                <w:szCs w:val="21"/>
              </w:rPr>
              <w:t>分；</w:t>
            </w:r>
          </w:p>
          <w:p>
            <w:pPr>
              <w:pStyle w:val="4"/>
              <w:widowControl w:val="0"/>
              <w:spacing w:before="0" w:after="0"/>
              <w:rPr>
                <w:rFonts w:ascii="宋体" w:hAnsi="宋体" w:eastAsia="宋体" w:cs="宋体"/>
                <w:color w:val="000000"/>
                <w:kern w:val="0"/>
                <w:szCs w:val="21"/>
              </w:rPr>
            </w:pPr>
            <w:r>
              <w:rPr>
                <w:rFonts w:ascii="宋体" w:hAnsi="宋体" w:cs="宋体"/>
                <w:color w:val="000000"/>
                <w:kern w:val="0"/>
                <w:szCs w:val="21"/>
              </w:rPr>
              <w:t>应急服务预案流程一般，可操作性一般得</w:t>
            </w:r>
            <w:r>
              <w:rPr>
                <w:rFonts w:ascii="宋体" w:hAnsi="宋体" w:eastAsia="宋体" w:cs="宋体"/>
                <w:color w:val="000000"/>
                <w:kern w:val="0"/>
                <w:szCs w:val="21"/>
              </w:rPr>
              <w:t>3</w:t>
            </w:r>
            <w:r>
              <w:rPr>
                <w:rFonts w:ascii="宋体" w:hAnsi="宋体" w:cs="宋体"/>
                <w:color w:val="000000"/>
                <w:kern w:val="0"/>
                <w:szCs w:val="21"/>
              </w:rPr>
              <w:t>分；</w:t>
            </w:r>
          </w:p>
          <w:p>
            <w:pPr>
              <w:pStyle w:val="4"/>
              <w:widowControl w:val="0"/>
              <w:spacing w:before="0" w:after="0"/>
              <w:rPr>
                <w:rFonts w:ascii="宋体" w:hAnsi="宋体" w:eastAsia="宋体" w:cs="宋体"/>
                <w:color w:val="000000"/>
                <w:kern w:val="0"/>
                <w:szCs w:val="21"/>
              </w:rPr>
            </w:pPr>
            <w:r>
              <w:rPr>
                <w:rFonts w:ascii="宋体" w:hAnsi="宋体" w:cs="宋体"/>
                <w:color w:val="000000"/>
                <w:kern w:val="0"/>
                <w:szCs w:val="21"/>
              </w:rPr>
              <w:t>应急服务预案流程差，可操作性差得</w:t>
            </w:r>
            <w:r>
              <w:rPr>
                <w:rFonts w:ascii="宋体" w:hAnsi="宋体" w:eastAsia="宋体" w:cs="宋体"/>
                <w:color w:val="000000"/>
                <w:kern w:val="0"/>
                <w:szCs w:val="21"/>
              </w:rPr>
              <w:t>1</w:t>
            </w:r>
            <w:r>
              <w:rPr>
                <w:rFonts w:ascii="宋体" w:hAnsi="宋体" w:cs="宋体"/>
                <w:color w:val="000000"/>
                <w:kern w:val="0"/>
                <w:szCs w:val="21"/>
              </w:rPr>
              <w:t>分</w:t>
            </w:r>
            <w:r>
              <w:rPr>
                <w:rFonts w:ascii="宋体" w:hAnsi="宋体" w:cs="宋体"/>
                <w:kern w:val="0"/>
                <w:szCs w:val="21"/>
              </w:rPr>
              <w:t>；</w:t>
            </w:r>
          </w:p>
          <w:p>
            <w:pPr>
              <w:pStyle w:val="4"/>
              <w:widowControl w:val="0"/>
              <w:spacing w:before="0" w:after="0"/>
              <w:rPr>
                <w:rFonts w:ascii="宋体" w:hAnsi="宋体" w:eastAsia="宋体" w:cs="宋体"/>
                <w:szCs w:val="21"/>
              </w:rPr>
            </w:pPr>
            <w:r>
              <w:rPr>
                <w:rFonts w:ascii="宋体" w:hAnsi="宋体" w:cs="宋体"/>
                <w:kern w:val="0"/>
                <w:szCs w:val="21"/>
              </w:rPr>
              <w:t>没有</w:t>
            </w:r>
            <w:r>
              <w:rPr>
                <w:rFonts w:ascii="宋体" w:hAnsi="宋体" w:cs="宋体"/>
                <w:color w:val="000000"/>
                <w:kern w:val="0"/>
                <w:szCs w:val="21"/>
              </w:rPr>
              <w:t>提供</w:t>
            </w:r>
            <w:r>
              <w:rPr>
                <w:rFonts w:ascii="宋体" w:hAnsi="宋体" w:cs="宋体"/>
                <w:kern w:val="0"/>
                <w:szCs w:val="21"/>
              </w:rPr>
              <w:t>应急服务预案</w:t>
            </w:r>
            <w:r>
              <w:rPr>
                <w:rFonts w:ascii="宋体" w:hAnsi="宋体" w:cs="宋体"/>
                <w:color w:val="000000"/>
                <w:kern w:val="0"/>
                <w:szCs w:val="21"/>
              </w:rPr>
              <w:t>方案不得分。</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1370" w:hRule="atLeast"/>
          <w:jc w:val="center"/>
        </w:trPr>
        <w:tc>
          <w:tcPr>
            <w:tcW w:w="481"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cs="宋体"/>
                <w:szCs w:val="21"/>
              </w:rPr>
            </w:pPr>
            <w:r>
              <w:rPr>
                <w:rFonts w:ascii="宋体" w:hAnsi="宋体" w:cs="宋体"/>
                <w:szCs w:val="21"/>
              </w:rPr>
              <w:t>8</w:t>
            </w:r>
          </w:p>
        </w:tc>
        <w:tc>
          <w:tcPr>
            <w:tcW w:w="244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cs="仿宋_GB2312"/>
                <w:szCs w:val="21"/>
              </w:rPr>
            </w:pPr>
            <w:r>
              <w:rPr>
                <w:rFonts w:ascii="宋体" w:hAnsi="宋体" w:cs="仿宋_GB2312"/>
                <w:szCs w:val="21"/>
              </w:rPr>
              <w:t>项目经验</w:t>
            </w:r>
          </w:p>
        </w:tc>
        <w:tc>
          <w:tcPr>
            <w:tcW w:w="678"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hint="default" w:ascii="宋体" w:hAnsi="宋体" w:eastAsia="宋体" w:cs="仿宋_GB2312"/>
                <w:szCs w:val="21"/>
                <w:lang w:val="en-US" w:eastAsia="zh-CN"/>
              </w:rPr>
            </w:pPr>
            <w:r>
              <w:rPr>
                <w:rFonts w:hint="eastAsia" w:ascii="宋体" w:hAnsi="宋体" w:eastAsia="宋体" w:cs="仿宋_GB2312"/>
                <w:szCs w:val="21"/>
                <w:lang w:val="en-US" w:eastAsia="zh-CN"/>
              </w:rPr>
              <w:t>10</w:t>
            </w:r>
            <w:bookmarkStart w:id="0" w:name="_GoBack"/>
            <w:bookmarkEnd w:id="0"/>
          </w:p>
        </w:tc>
        <w:tc>
          <w:tcPr>
            <w:tcW w:w="4543"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szCs w:val="21"/>
              </w:rPr>
            </w:pPr>
            <w:r>
              <w:rPr>
                <w:rFonts w:ascii="宋体" w:hAnsi="宋体"/>
                <w:szCs w:val="21"/>
              </w:rPr>
              <w:t>报价人201</w:t>
            </w:r>
            <w:r>
              <w:rPr>
                <w:rFonts w:hint="eastAsia" w:ascii="宋体" w:hAnsi="宋体"/>
                <w:szCs w:val="21"/>
                <w:lang w:val="en-US" w:eastAsia="zh-CN"/>
              </w:rPr>
              <w:t>9</w:t>
            </w:r>
            <w:r>
              <w:rPr>
                <w:rFonts w:ascii="宋体" w:hAnsi="宋体"/>
                <w:szCs w:val="21"/>
              </w:rPr>
              <w:t>年至今承担的业绩经验，以合同签订时间为准，每提供一份有效</w:t>
            </w:r>
            <w:r>
              <w:rPr>
                <w:rFonts w:hint="eastAsia" w:ascii="宋体" w:hAnsi="宋体"/>
                <w:szCs w:val="21"/>
                <w:lang w:eastAsia="zh-CN"/>
              </w:rPr>
              <w:t>的</w:t>
            </w:r>
            <w:r>
              <w:rPr>
                <w:rFonts w:ascii="宋体" w:hAnsi="宋体"/>
                <w:szCs w:val="21"/>
              </w:rPr>
              <w:t>二级或以上医院的有效合同得</w:t>
            </w:r>
            <w:r>
              <w:rPr>
                <w:rFonts w:hint="eastAsia" w:ascii="宋体" w:hAnsi="宋体"/>
                <w:szCs w:val="21"/>
                <w:lang w:val="en-US" w:eastAsia="zh-CN"/>
              </w:rPr>
              <w:t>5</w:t>
            </w:r>
            <w:r>
              <w:rPr>
                <w:rFonts w:ascii="宋体" w:hAnsi="宋体"/>
                <w:szCs w:val="21"/>
              </w:rPr>
              <w:t>分，本项最高得</w:t>
            </w:r>
            <w:r>
              <w:rPr>
                <w:rFonts w:hint="eastAsia" w:ascii="宋体" w:hAnsi="宋体"/>
                <w:szCs w:val="21"/>
                <w:lang w:val="en-US" w:eastAsia="zh-CN"/>
              </w:rPr>
              <w:t>10</w:t>
            </w:r>
            <w:r>
              <w:rPr>
                <w:rFonts w:ascii="宋体" w:hAnsi="宋体"/>
                <w:szCs w:val="21"/>
              </w:rPr>
              <w:t>分；</w:t>
            </w:r>
          </w:p>
          <w:p>
            <w:pPr>
              <w:pStyle w:val="4"/>
              <w:widowControl w:val="0"/>
              <w:spacing w:before="0" w:after="0"/>
              <w:rPr>
                <w:rFonts w:ascii="宋体" w:hAnsi="宋体"/>
                <w:b/>
                <w:bCs/>
                <w:szCs w:val="21"/>
              </w:rPr>
            </w:pPr>
            <w:r>
              <w:rPr>
                <w:rFonts w:ascii="宋体" w:hAnsi="宋体"/>
                <w:b/>
                <w:bCs/>
                <w:szCs w:val="21"/>
              </w:rPr>
              <w:t>注：1.报价标文件中须提供合同关键页；</w:t>
            </w:r>
          </w:p>
          <w:p>
            <w:pPr>
              <w:pStyle w:val="4"/>
              <w:widowControl w:val="0"/>
              <w:spacing w:before="0" w:after="0"/>
              <w:ind w:firstLine="422"/>
              <w:rPr>
                <w:rFonts w:ascii="宋体" w:hAnsi="宋体"/>
                <w:b/>
                <w:bCs/>
                <w:szCs w:val="21"/>
              </w:rPr>
            </w:pPr>
            <w:r>
              <w:rPr>
                <w:rFonts w:ascii="宋体" w:hAnsi="宋体"/>
                <w:b/>
                <w:bCs/>
                <w:szCs w:val="21"/>
              </w:rPr>
              <w:t>2.若合同中未显示合同金额，需提供用户出具的合同金额证明。</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r>
        <w:tblPrEx>
          <w:tblCellMar>
            <w:top w:w="0" w:type="dxa"/>
            <w:left w:w="85" w:type="dxa"/>
            <w:bottom w:w="0" w:type="dxa"/>
            <w:right w:w="85" w:type="dxa"/>
          </w:tblCellMar>
        </w:tblPrEx>
        <w:trPr>
          <w:trHeight w:val="407" w:hRule="atLeast"/>
          <w:jc w:val="center"/>
        </w:trPr>
        <w:tc>
          <w:tcPr>
            <w:tcW w:w="2929" w:type="dxa"/>
            <w:gridSpan w:val="2"/>
            <w:tcBorders>
              <w:top w:val="outset" w:color="111111" w:sz="6"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合计</w:t>
            </w:r>
          </w:p>
        </w:tc>
        <w:tc>
          <w:tcPr>
            <w:tcW w:w="5221" w:type="dxa"/>
            <w:gridSpan w:val="2"/>
            <w:tcBorders>
              <w:top w:val="outset" w:color="111111" w:sz="6"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50分</w:t>
            </w:r>
          </w:p>
        </w:tc>
        <w:tc>
          <w:tcPr>
            <w:tcW w:w="629" w:type="dxa"/>
            <w:tcBorders>
              <w:top w:val="outset" w:color="111111" w:sz="6" w:space="0"/>
              <w:left w:val="outset" w:color="111111" w:sz="6" w:space="0"/>
              <w:bottom w:val="outset" w:color="111111" w:sz="6" w:space="0"/>
              <w:right w:val="outset" w:color="111111" w:sz="6" w:space="0"/>
            </w:tcBorders>
            <w:shd w:val="clear" w:color="auto" w:fill="EAEAEA"/>
          </w:tcPr>
          <w:p>
            <w:pPr>
              <w:pStyle w:val="4"/>
              <w:widowControl w:val="0"/>
              <w:spacing w:before="0" w:after="0"/>
              <w:jc w:val="center"/>
              <w:rPr>
                <w:rFonts w:ascii="宋体" w:hAnsi="宋体" w:eastAsia="宋体" w:cs="宋体"/>
                <w:b/>
                <w:szCs w:val="21"/>
              </w:rPr>
            </w:pPr>
          </w:p>
        </w:tc>
      </w:tr>
    </w:tbl>
    <w:p>
      <w:pPr>
        <w:pStyle w:val="4"/>
        <w:rPr>
          <w:b/>
          <w:szCs w:val="21"/>
        </w:rPr>
      </w:pPr>
      <w:r>
        <w:rPr>
          <w:b/>
          <w:szCs w:val="21"/>
        </w:rPr>
        <w:t>注：1、评委按分项的规定分数范围内给各报价人进行打分，并统计总分。</w:t>
      </w:r>
    </w:p>
    <w:p>
      <w:pPr>
        <w:pStyle w:val="4"/>
        <w:rPr>
          <w:b/>
          <w:szCs w:val="21"/>
        </w:rPr>
      </w:pPr>
    </w:p>
    <w:p>
      <w:pPr>
        <w:pStyle w:val="4"/>
        <w:spacing w:line="360" w:lineRule="auto"/>
        <w:jc w:val="center"/>
        <w:rPr>
          <w:rFonts w:eastAsia="仿宋"/>
          <w:b/>
          <w:sz w:val="30"/>
        </w:rPr>
      </w:pPr>
      <w:r>
        <w:rPr>
          <w:rFonts w:eastAsia="仿宋"/>
          <w:b/>
          <w:sz w:val="30"/>
        </w:rPr>
        <w:t>价格评分表</w:t>
      </w:r>
    </w:p>
    <w:tbl>
      <w:tblPr>
        <w:tblStyle w:val="2"/>
        <w:tblpPr w:leftFromText="180" w:rightFromText="180" w:vertAnchor="text" w:horzAnchor="page" w:tblpXSpec="center" w:tblpY="208"/>
        <w:tblW w:w="4950" w:type="pct"/>
        <w:jc w:val="center"/>
        <w:tblLayout w:type="fixed"/>
        <w:tblCellMar>
          <w:top w:w="0" w:type="dxa"/>
          <w:left w:w="85" w:type="dxa"/>
          <w:bottom w:w="0" w:type="dxa"/>
          <w:right w:w="85" w:type="dxa"/>
        </w:tblCellMar>
      </w:tblPr>
      <w:tblGrid>
        <w:gridCol w:w="692"/>
        <w:gridCol w:w="2290"/>
        <w:gridCol w:w="692"/>
        <w:gridCol w:w="4633"/>
        <w:gridCol w:w="641"/>
      </w:tblGrid>
      <w:tr>
        <w:tblPrEx>
          <w:tblCellMar>
            <w:top w:w="0" w:type="dxa"/>
            <w:left w:w="85" w:type="dxa"/>
            <w:bottom w:w="0" w:type="dxa"/>
            <w:right w:w="85" w:type="dxa"/>
          </w:tblCellMar>
        </w:tblPrEx>
        <w:trPr>
          <w:trHeight w:val="487" w:hRule="atLeast"/>
          <w:jc w:val="center"/>
        </w:trPr>
        <w:tc>
          <w:tcPr>
            <w:tcW w:w="679"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序号</w:t>
            </w:r>
          </w:p>
        </w:tc>
        <w:tc>
          <w:tcPr>
            <w:tcW w:w="2247"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评审项目</w:t>
            </w:r>
          </w:p>
        </w:tc>
        <w:tc>
          <w:tcPr>
            <w:tcW w:w="679"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分值</w:t>
            </w:r>
          </w:p>
        </w:tc>
        <w:tc>
          <w:tcPr>
            <w:tcW w:w="4545"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评审标准</w:t>
            </w:r>
          </w:p>
        </w:tc>
        <w:tc>
          <w:tcPr>
            <w:tcW w:w="629" w:type="dxa"/>
            <w:tcBorders>
              <w:top w:val="single" w:color="000000" w:sz="4" w:space="0"/>
              <w:left w:val="outset" w:color="111111" w:sz="6" w:space="0"/>
              <w:bottom w:val="outset" w:color="111111" w:sz="6" w:space="0"/>
              <w:right w:val="outset" w:color="111111" w:sz="6" w:space="0"/>
            </w:tcBorders>
            <w:shd w:val="clear" w:color="auto" w:fill="EAEAEA"/>
            <w:vAlign w:val="center"/>
          </w:tcPr>
          <w:p>
            <w:pPr>
              <w:pStyle w:val="4"/>
              <w:widowControl w:val="0"/>
              <w:spacing w:before="0" w:after="0"/>
              <w:jc w:val="center"/>
              <w:rPr>
                <w:rFonts w:ascii="宋体" w:hAnsi="宋体" w:eastAsia="宋体" w:cs="宋体"/>
                <w:b/>
                <w:szCs w:val="21"/>
              </w:rPr>
            </w:pPr>
            <w:r>
              <w:rPr>
                <w:rFonts w:ascii="宋体" w:hAnsi="宋体" w:cs="宋体"/>
                <w:b/>
                <w:szCs w:val="21"/>
              </w:rPr>
              <w:t>打分</w:t>
            </w:r>
          </w:p>
        </w:tc>
      </w:tr>
      <w:tr>
        <w:tblPrEx>
          <w:tblCellMar>
            <w:top w:w="0" w:type="dxa"/>
            <w:left w:w="85" w:type="dxa"/>
            <w:bottom w:w="0" w:type="dxa"/>
            <w:right w:w="85" w:type="dxa"/>
          </w:tblCellMar>
        </w:tblPrEx>
        <w:trPr>
          <w:trHeight w:val="2184" w:hRule="atLeast"/>
          <w:jc w:val="center"/>
        </w:trPr>
        <w:tc>
          <w:tcPr>
            <w:tcW w:w="679"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eastAsia="宋体" w:cs="宋体"/>
                <w:szCs w:val="21"/>
              </w:rPr>
              <w:t>1</w:t>
            </w:r>
          </w:p>
        </w:tc>
        <w:tc>
          <w:tcPr>
            <w:tcW w:w="2247"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szCs w:val="21"/>
              </w:rPr>
            </w:pPr>
            <w:r>
              <w:rPr>
                <w:rFonts w:ascii="宋体" w:hAnsi="宋体" w:cs="宋体"/>
                <w:szCs w:val="21"/>
              </w:rPr>
              <w:t>价格评估</w:t>
            </w:r>
          </w:p>
        </w:tc>
        <w:tc>
          <w:tcPr>
            <w:tcW w:w="679"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jc w:val="center"/>
              <w:rPr>
                <w:rFonts w:ascii="宋体" w:hAnsi="宋体" w:eastAsia="宋体" w:cs="宋体"/>
                <w:color w:val="000000"/>
                <w:kern w:val="0"/>
                <w:szCs w:val="21"/>
              </w:rPr>
            </w:pPr>
            <w:r>
              <w:rPr>
                <w:rFonts w:ascii="宋体" w:hAnsi="宋体" w:cs="宋体"/>
                <w:color w:val="000000"/>
                <w:kern w:val="0"/>
                <w:szCs w:val="21"/>
              </w:rPr>
              <w:t>50</w:t>
            </w:r>
          </w:p>
        </w:tc>
        <w:tc>
          <w:tcPr>
            <w:tcW w:w="4545" w:type="dxa"/>
            <w:tcBorders>
              <w:top w:val="outset" w:color="111111" w:sz="6" w:space="0"/>
              <w:left w:val="outset" w:color="111111" w:sz="6" w:space="0"/>
              <w:bottom w:val="outset" w:color="111111" w:sz="6" w:space="0"/>
              <w:right w:val="outset" w:color="111111" w:sz="6" w:space="0"/>
            </w:tcBorders>
            <w:vAlign w:val="center"/>
          </w:tcPr>
          <w:p>
            <w:pPr>
              <w:pStyle w:val="4"/>
              <w:widowControl w:val="0"/>
              <w:spacing w:before="0" w:after="0"/>
              <w:rPr>
                <w:rFonts w:ascii="宋体" w:hAnsi="宋体" w:eastAsia="宋体" w:cs="宋体"/>
                <w:szCs w:val="21"/>
              </w:rPr>
            </w:pPr>
            <w:r>
              <w:rPr>
                <w:rFonts w:ascii="宋体" w:hAnsi="宋体" w:cs="宋体"/>
                <w:szCs w:val="21"/>
              </w:rPr>
              <w:t>将评标委员会评审后的所有报价人的评标价格，取满足招标文件要求且投标价格最低的投标报价作为评标基准价，其价格分为满分，其他报价人的价格分统一按照下列公式计算：投标报价得分</w:t>
            </w:r>
            <w:r>
              <w:rPr>
                <w:rFonts w:ascii="宋体" w:hAnsi="宋体" w:eastAsia="宋体" w:cs="宋体"/>
                <w:szCs w:val="21"/>
              </w:rPr>
              <w:t>=</w:t>
            </w:r>
            <w:r>
              <w:rPr>
                <w:rFonts w:ascii="宋体" w:hAnsi="宋体" w:cs="宋体"/>
                <w:szCs w:val="21"/>
              </w:rPr>
              <w:t>（评标基准价</w:t>
            </w:r>
            <w:r>
              <w:rPr>
                <w:rFonts w:ascii="宋体" w:hAnsi="宋体" w:eastAsia="宋体" w:cs="宋体"/>
                <w:szCs w:val="21"/>
              </w:rPr>
              <w:t>/</w:t>
            </w:r>
            <w:r>
              <w:rPr>
                <w:rFonts w:ascii="宋体" w:hAnsi="宋体" w:cs="宋体"/>
                <w:szCs w:val="21"/>
              </w:rPr>
              <w:t>投标报价）</w:t>
            </w:r>
            <w:r>
              <w:rPr>
                <w:rFonts w:ascii="宋体" w:hAnsi="宋体" w:eastAsia="宋体" w:cs="宋体"/>
                <w:szCs w:val="21"/>
              </w:rPr>
              <w:t>×</w:t>
            </w:r>
            <w:r>
              <w:rPr>
                <w:rFonts w:ascii="宋体" w:hAnsi="宋体" w:cs="宋体"/>
                <w:szCs w:val="21"/>
              </w:rPr>
              <w:t>价格权值</w:t>
            </w:r>
            <w:r>
              <w:rPr>
                <w:rFonts w:ascii="宋体" w:hAnsi="宋体" w:eastAsia="宋体" w:cs="宋体"/>
                <w:szCs w:val="21"/>
              </w:rPr>
              <w:t>×100</w:t>
            </w:r>
          </w:p>
        </w:tc>
        <w:tc>
          <w:tcPr>
            <w:tcW w:w="629" w:type="dxa"/>
            <w:tcBorders>
              <w:top w:val="outset" w:color="111111" w:sz="6" w:space="0"/>
              <w:left w:val="outset" w:color="111111" w:sz="6" w:space="0"/>
              <w:bottom w:val="outset" w:color="111111" w:sz="6" w:space="0"/>
              <w:right w:val="outset" w:color="111111" w:sz="6" w:space="0"/>
            </w:tcBorders>
          </w:tcPr>
          <w:p>
            <w:pPr>
              <w:pStyle w:val="4"/>
              <w:widowControl w:val="0"/>
              <w:spacing w:before="0" w:after="0"/>
              <w:rPr>
                <w:rFonts w:ascii="宋体" w:hAnsi="宋体" w:eastAsia="宋体" w:cs="宋体"/>
                <w:szCs w:val="21"/>
              </w:rPr>
            </w:pPr>
          </w:p>
        </w:tc>
      </w:tr>
    </w:tbl>
    <w:p>
      <w:pPr>
        <w:pStyle w:val="4"/>
        <w:rPr>
          <w:rFonts w:ascii="宋体" w:hAnsi="宋体" w:eastAsia="宋体" w:cs="宋体"/>
          <w:sz w:val="24"/>
          <w:szCs w:val="24"/>
        </w:rPr>
      </w:pPr>
    </w:p>
    <w:sectPr>
      <w:pgSz w:w="11906" w:h="16838"/>
      <w:pgMar w:top="1440" w:right="1519" w:bottom="1440" w:left="1519" w:header="0" w:footer="0" w:gutter="0"/>
      <w:pgNumType w:fmt="decimal"/>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autoHyphenation/>
  <w:compat>
    <w:balanceSingleByteDoubleByteWidth/>
    <w:doNotExpandShiftReturn/>
    <w:useFELayout/>
    <w:compatSetting w:name="compatibilityMode" w:uri="http://schemas.microsoft.com/office/word" w:val="12"/>
  </w:compat>
  <w:rsids>
    <w:rsidRoot w:val="00000000"/>
    <w:rsid w:val="091A7535"/>
    <w:rsid w:val="12E07C9D"/>
    <w:rsid w:val="12EC7428"/>
    <w:rsid w:val="1BD712B5"/>
    <w:rsid w:val="26804A23"/>
    <w:rsid w:val="4482254F"/>
    <w:rsid w:val="4A44618D"/>
    <w:rsid w:val="4A4B67AB"/>
    <w:rsid w:val="58153209"/>
    <w:rsid w:val="5A1C3A21"/>
    <w:rsid w:val="62B244A1"/>
    <w:rsid w:val="6E7B279C"/>
    <w:rsid w:val="74044E3F"/>
    <w:rsid w:val="7E4A63F2"/>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hi-IN"/>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正文1"/>
    <w:qFormat/>
    <w:uiPriority w:val="0"/>
    <w:pPr>
      <w:widowControl w:val="0"/>
      <w:suppressAutoHyphens w:val="0"/>
      <w:bidi w:val="0"/>
      <w:spacing w:before="0" w:after="0"/>
      <w:jc w:val="both"/>
    </w:pPr>
    <w:rPr>
      <w:rFonts w:asciiTheme="minorHAnsi" w:hAnsiTheme="minorHAnsi" w:eastAsiaTheme="minorEastAsia" w:cstheme="minorBidi"/>
      <w:color w:val="auto"/>
      <w:kern w:val="2"/>
      <w:sz w:val="21"/>
      <w:szCs w:val="22"/>
      <w:lang w:val="en-US" w:eastAsia="zh-CN" w:bidi="ar-SA"/>
    </w:rPr>
  </w:style>
  <w:style w:type="paragraph" w:customStyle="1" w:styleId="5">
    <w:name w:val="页眉1"/>
    <w:basedOn w:val="4"/>
    <w:qFormat/>
    <w:uiPriority w:val="0"/>
    <w:pPr>
      <w:pBdr>
        <w:bottom w:val="single" w:color="000000" w:sz="6" w:space="1"/>
      </w:pBdr>
      <w:tabs>
        <w:tab w:val="center" w:pos="4153"/>
        <w:tab w:val="right" w:pos="8306"/>
      </w:tabs>
      <w:snapToGrid w:val="0"/>
      <w:jc w:val="center"/>
    </w:pPr>
    <w:rPr>
      <w:sz w:val="18"/>
      <w:szCs w:val="18"/>
    </w:rPr>
  </w:style>
  <w:style w:type="paragraph" w:customStyle="1" w:styleId="6">
    <w:name w:val="列表段落"/>
    <w:basedOn w:val="4"/>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3521</Words>
  <Characters>3624</Characters>
  <Paragraphs>186</Paragraphs>
  <TotalTime>9</TotalTime>
  <ScaleCrop>false</ScaleCrop>
  <LinksUpToDate>false</LinksUpToDate>
  <CharactersWithSpaces>3635</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2018-08-15T02:14:00Z</dcterms:created>
  <dc:creator>pmc13</dc:creator>
  <cp:lastModifiedBy>阳光</cp:lastModifiedBy>
  <cp:lastPrinted>2021-06-22T00:46:00Z</cp:lastPrinted>
  <dcterms:modified xsi:type="dcterms:W3CDTF">2021-12-20T08:48:27Z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203E6D70D6C84D9D9CA263BA007A1C8C</vt:lpwstr>
  </property>
  <property fmtid="{D5CDD505-2E9C-101B-9397-08002B2CF9AE}" pid="3" name="KSOProductBuildVer">
    <vt:lpwstr>2052-11.1.0.11115</vt:lpwstr>
  </property>
</Properties>
</file>